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66E9A" w14:textId="77777777" w:rsidR="00ED1559" w:rsidRPr="00E13F47" w:rsidRDefault="00ED1559" w:rsidP="00A54A91">
      <w:pPr>
        <w:shd w:val="clear" w:color="auto" w:fill="FFFFFF"/>
        <w:spacing w:line="276" w:lineRule="auto"/>
        <w:jc w:val="both"/>
        <w:rPr>
          <w:rFonts w:ascii="Arial" w:hAnsi="Arial" w:cs="Arial"/>
          <w:b/>
        </w:rPr>
      </w:pPr>
      <w:r w:rsidRPr="00E13F47">
        <w:rPr>
          <w:rFonts w:ascii="Arial" w:hAnsi="Arial" w:cs="Arial"/>
          <w:b/>
        </w:rPr>
        <w:t xml:space="preserve">Principled Policing: The Mayor’s </w:t>
      </w:r>
      <w:r w:rsidR="00E5012A" w:rsidRPr="00E13F47">
        <w:rPr>
          <w:rFonts w:ascii="Arial" w:hAnsi="Arial" w:cs="Arial"/>
          <w:b/>
        </w:rPr>
        <w:t>201</w:t>
      </w:r>
      <w:r w:rsidR="00306E58" w:rsidRPr="00E13F47">
        <w:rPr>
          <w:rFonts w:ascii="Arial" w:hAnsi="Arial" w:cs="Arial"/>
          <w:b/>
        </w:rPr>
        <w:t>9</w:t>
      </w:r>
      <w:r w:rsidR="00C519E2" w:rsidRPr="00E13F47">
        <w:rPr>
          <w:rFonts w:ascii="Arial" w:hAnsi="Arial" w:cs="Arial"/>
          <w:b/>
        </w:rPr>
        <w:t xml:space="preserve"> Q</w:t>
      </w:r>
      <w:r w:rsidR="00E5012A" w:rsidRPr="00E13F47">
        <w:rPr>
          <w:rFonts w:ascii="Arial" w:hAnsi="Arial" w:cs="Arial"/>
          <w:b/>
        </w:rPr>
        <w:t>1</w:t>
      </w:r>
      <w:r w:rsidR="00C519E2" w:rsidRPr="00E13F47">
        <w:rPr>
          <w:rFonts w:ascii="Arial" w:hAnsi="Arial" w:cs="Arial"/>
          <w:b/>
        </w:rPr>
        <w:t xml:space="preserve"> &amp; Q</w:t>
      </w:r>
      <w:r w:rsidR="00E5012A" w:rsidRPr="00E13F47">
        <w:rPr>
          <w:rFonts w:ascii="Arial" w:hAnsi="Arial" w:cs="Arial"/>
          <w:b/>
        </w:rPr>
        <w:t>2</w:t>
      </w:r>
      <w:r w:rsidRPr="00E13F47">
        <w:rPr>
          <w:rFonts w:ascii="Arial" w:hAnsi="Arial" w:cs="Arial"/>
          <w:b/>
        </w:rPr>
        <w:t xml:space="preserve"> Police Accountability Report</w:t>
      </w:r>
    </w:p>
    <w:p w14:paraId="2BBDB75A" w14:textId="77777777" w:rsidR="00ED1559" w:rsidRPr="00E13F47" w:rsidRDefault="00ED1559" w:rsidP="00A54A91">
      <w:pPr>
        <w:shd w:val="clear" w:color="auto" w:fill="FFFFFF"/>
        <w:spacing w:line="276" w:lineRule="auto"/>
        <w:jc w:val="both"/>
        <w:rPr>
          <w:rFonts w:ascii="Arial" w:hAnsi="Arial" w:cs="Arial"/>
        </w:rPr>
      </w:pPr>
    </w:p>
    <w:p w14:paraId="282FD463" w14:textId="77777777" w:rsidR="003B16C3" w:rsidRPr="00E13F47" w:rsidRDefault="003B16C3" w:rsidP="00A54A91">
      <w:pPr>
        <w:shd w:val="clear" w:color="auto" w:fill="FFFFFF"/>
        <w:spacing w:line="276" w:lineRule="auto"/>
        <w:jc w:val="both"/>
        <w:rPr>
          <w:rFonts w:ascii="Arial" w:hAnsi="Arial" w:cs="Arial"/>
        </w:rPr>
      </w:pPr>
      <w:r w:rsidRPr="00E13F47">
        <w:rPr>
          <w:rFonts w:ascii="Arial" w:hAnsi="Arial" w:cs="Arial"/>
        </w:rPr>
        <w:t>Dear Oaklanders,</w:t>
      </w:r>
    </w:p>
    <w:p w14:paraId="4DF39888" w14:textId="77777777" w:rsidR="003B16C3" w:rsidRPr="00E13F47" w:rsidRDefault="003B16C3" w:rsidP="00A54A91">
      <w:pPr>
        <w:shd w:val="clear" w:color="auto" w:fill="FFFFFF"/>
        <w:spacing w:line="276" w:lineRule="auto"/>
        <w:jc w:val="both"/>
        <w:rPr>
          <w:rFonts w:ascii="Arial" w:hAnsi="Arial" w:cs="Arial"/>
        </w:rPr>
      </w:pPr>
    </w:p>
    <w:p w14:paraId="1AA708A5" w14:textId="08A7367B" w:rsidR="00EE2E5B" w:rsidRPr="00E13F47" w:rsidRDefault="00803837" w:rsidP="00A54A91">
      <w:pPr>
        <w:shd w:val="clear" w:color="auto" w:fill="FFFFFF"/>
        <w:spacing w:line="276" w:lineRule="auto"/>
        <w:jc w:val="both"/>
        <w:rPr>
          <w:rFonts w:ascii="Arial" w:hAnsi="Arial" w:cs="Arial"/>
        </w:rPr>
      </w:pPr>
      <w:r w:rsidRPr="00E13F47">
        <w:rPr>
          <w:rFonts w:ascii="Arial" w:hAnsi="Arial" w:cs="Arial"/>
        </w:rPr>
        <w:t xml:space="preserve">The genesis of the Oakland Police Department’s (OPD) ongoing reform effort is rooted in historical community distrust and harm caused by inequitable and racially disparate policing. Community relationships and trust are profoundly impacted when </w:t>
      </w:r>
      <w:r w:rsidR="00EA1183" w:rsidRPr="00E13F47">
        <w:rPr>
          <w:rFonts w:ascii="Arial" w:hAnsi="Arial" w:cs="Arial"/>
        </w:rPr>
        <w:t>policing practices are influenced or are perceived to be influenced by bias</w:t>
      </w:r>
      <w:r w:rsidR="0070048E" w:rsidRPr="00E13F47">
        <w:rPr>
          <w:rFonts w:ascii="Arial" w:hAnsi="Arial" w:cs="Arial"/>
        </w:rPr>
        <w:t>,</w:t>
      </w:r>
      <w:r w:rsidR="00546655" w:rsidRPr="00E13F47">
        <w:rPr>
          <w:rFonts w:ascii="Arial" w:hAnsi="Arial" w:cs="Arial"/>
        </w:rPr>
        <w:t xml:space="preserve"> and when the </w:t>
      </w:r>
      <w:r w:rsidR="0070048E" w:rsidRPr="00E13F47">
        <w:rPr>
          <w:rFonts w:ascii="Arial" w:hAnsi="Arial" w:cs="Arial"/>
        </w:rPr>
        <w:t xml:space="preserve">public has concerns about </w:t>
      </w:r>
      <w:r w:rsidR="00860FE3" w:rsidRPr="00E13F47">
        <w:rPr>
          <w:rFonts w:ascii="Arial" w:hAnsi="Arial" w:cs="Arial"/>
        </w:rPr>
        <w:t xml:space="preserve">whether there are meaningful internal controls on </w:t>
      </w:r>
      <w:r w:rsidR="00EE2E5B" w:rsidRPr="00E13F47">
        <w:rPr>
          <w:rFonts w:ascii="Arial" w:hAnsi="Arial" w:cs="Arial"/>
        </w:rPr>
        <w:t xml:space="preserve">police </w:t>
      </w:r>
      <w:r w:rsidR="00860FE3" w:rsidRPr="00E13F47">
        <w:rPr>
          <w:rFonts w:ascii="Arial" w:hAnsi="Arial" w:cs="Arial"/>
        </w:rPr>
        <w:t>power</w:t>
      </w:r>
      <w:r w:rsidR="00E41B3A" w:rsidRPr="00E13F47">
        <w:rPr>
          <w:rFonts w:ascii="Arial" w:hAnsi="Arial" w:cs="Arial"/>
        </w:rPr>
        <w:t>.</w:t>
      </w:r>
      <w:r w:rsidR="00EE2E5B" w:rsidRPr="00E13F47">
        <w:rPr>
          <w:rFonts w:ascii="Arial" w:hAnsi="Arial" w:cs="Arial"/>
        </w:rPr>
        <w:t xml:space="preserve"> </w:t>
      </w:r>
    </w:p>
    <w:p w14:paraId="3ED93A0C" w14:textId="77777777" w:rsidR="00EE2E5B" w:rsidRPr="00E13F47" w:rsidRDefault="00EE2E5B" w:rsidP="00A54A91">
      <w:pPr>
        <w:shd w:val="clear" w:color="auto" w:fill="FFFFFF"/>
        <w:spacing w:line="276" w:lineRule="auto"/>
        <w:jc w:val="both"/>
        <w:rPr>
          <w:rFonts w:ascii="Arial" w:hAnsi="Arial" w:cs="Arial"/>
        </w:rPr>
      </w:pPr>
    </w:p>
    <w:p w14:paraId="57C164E1" w14:textId="3CAEC99C" w:rsidR="00F77AA9" w:rsidRPr="00E13F47" w:rsidRDefault="003B16C3" w:rsidP="00A54A91">
      <w:pPr>
        <w:shd w:val="clear" w:color="auto" w:fill="FFFFFF"/>
        <w:spacing w:line="276" w:lineRule="auto"/>
        <w:jc w:val="both"/>
        <w:rPr>
          <w:rFonts w:ascii="Arial" w:hAnsi="Arial" w:cs="Arial"/>
        </w:rPr>
      </w:pPr>
      <w:r w:rsidRPr="00E13F47">
        <w:rPr>
          <w:rFonts w:ascii="Arial" w:hAnsi="Arial" w:cs="Arial"/>
        </w:rPr>
        <w:t>The purpose of th</w:t>
      </w:r>
      <w:r w:rsidR="004F4316" w:rsidRPr="00E13F47">
        <w:rPr>
          <w:rFonts w:ascii="Arial" w:hAnsi="Arial" w:cs="Arial"/>
        </w:rPr>
        <w:t>is biannual</w:t>
      </w:r>
      <w:r w:rsidRPr="00E13F47">
        <w:rPr>
          <w:rFonts w:ascii="Arial" w:hAnsi="Arial" w:cs="Arial"/>
        </w:rPr>
        <w:t xml:space="preserve"> report is to bring greater transparency to police data and outline how the City of Oakland’s Police Department (OPD) is managing and meeting its accountability goals. </w:t>
      </w:r>
      <w:r w:rsidR="004833A7">
        <w:rPr>
          <w:rFonts w:ascii="Arial" w:hAnsi="Arial" w:cs="Arial"/>
        </w:rPr>
        <w:t xml:space="preserve">The City continues to work to meet both the spirit and the letter of its obligations under the Negotiated Settlement Agreement. </w:t>
      </w:r>
      <w:r w:rsidR="008510AF">
        <w:rPr>
          <w:rFonts w:ascii="Arial" w:hAnsi="Arial" w:cs="Arial"/>
        </w:rPr>
        <w:t>The</w:t>
      </w:r>
      <w:r w:rsidR="003C6A2E" w:rsidRPr="00E13F47">
        <w:rPr>
          <w:rFonts w:ascii="Arial" w:hAnsi="Arial" w:cs="Arial"/>
        </w:rPr>
        <w:t xml:space="preserve"> reports over time show</w:t>
      </w:r>
      <w:r w:rsidR="001518BF">
        <w:rPr>
          <w:rFonts w:ascii="Arial" w:hAnsi="Arial" w:cs="Arial"/>
        </w:rPr>
        <w:t xml:space="preserve"> a r</w:t>
      </w:r>
      <w:r w:rsidR="00242DEF" w:rsidRPr="00E13F47">
        <w:rPr>
          <w:rFonts w:ascii="Arial" w:hAnsi="Arial" w:cs="Arial"/>
        </w:rPr>
        <w:t>eduction of complaints</w:t>
      </w:r>
      <w:r w:rsidR="001518BF">
        <w:rPr>
          <w:rFonts w:ascii="Arial" w:hAnsi="Arial" w:cs="Arial"/>
        </w:rPr>
        <w:t xml:space="preserve">, </w:t>
      </w:r>
      <w:r w:rsidR="00851C03">
        <w:rPr>
          <w:rFonts w:ascii="Arial" w:hAnsi="Arial" w:cs="Arial"/>
        </w:rPr>
        <w:t xml:space="preserve">serious </w:t>
      </w:r>
      <w:r w:rsidR="001518BF">
        <w:rPr>
          <w:rFonts w:ascii="Arial" w:hAnsi="Arial" w:cs="Arial"/>
        </w:rPr>
        <w:t xml:space="preserve">uses of force, </w:t>
      </w:r>
      <w:r w:rsidR="00F92AA9">
        <w:rPr>
          <w:rFonts w:ascii="Arial" w:hAnsi="Arial" w:cs="Arial"/>
        </w:rPr>
        <w:t xml:space="preserve">and </w:t>
      </w:r>
      <w:r w:rsidR="00F979C8">
        <w:rPr>
          <w:rFonts w:ascii="Arial" w:hAnsi="Arial" w:cs="Arial"/>
        </w:rPr>
        <w:t>officer-involved shootings</w:t>
      </w:r>
      <w:r w:rsidR="00426CD7">
        <w:rPr>
          <w:rFonts w:ascii="Arial" w:hAnsi="Arial" w:cs="Arial"/>
        </w:rPr>
        <w:t>.</w:t>
      </w:r>
      <w:r w:rsidR="008510AF">
        <w:rPr>
          <w:rFonts w:ascii="Arial" w:hAnsi="Arial" w:cs="Arial"/>
        </w:rPr>
        <w:t xml:space="preserve"> In addition, the Department is</w:t>
      </w:r>
      <w:r w:rsidR="00845D60">
        <w:rPr>
          <w:rFonts w:ascii="Arial" w:hAnsi="Arial" w:cs="Arial"/>
        </w:rPr>
        <w:t xml:space="preserve"> </w:t>
      </w:r>
      <w:r w:rsidR="008510AF">
        <w:rPr>
          <w:rFonts w:ascii="Arial" w:hAnsi="Arial" w:cs="Arial"/>
        </w:rPr>
        <w:t xml:space="preserve">working to </w:t>
      </w:r>
      <w:r w:rsidR="000F765E">
        <w:rPr>
          <w:rFonts w:ascii="Arial" w:hAnsi="Arial" w:cs="Arial"/>
        </w:rPr>
        <w:t xml:space="preserve">fully </w:t>
      </w:r>
      <w:r w:rsidR="008510AF">
        <w:rPr>
          <w:rFonts w:ascii="Arial" w:hAnsi="Arial" w:cs="Arial"/>
        </w:rPr>
        <w:t xml:space="preserve">staff the department, focusing on </w:t>
      </w:r>
      <w:r w:rsidR="00394D39">
        <w:rPr>
          <w:rFonts w:ascii="Arial" w:hAnsi="Arial" w:cs="Arial"/>
        </w:rPr>
        <w:t xml:space="preserve">recruiting and hiring </w:t>
      </w:r>
      <w:r w:rsidR="00063CB6">
        <w:rPr>
          <w:rFonts w:ascii="Arial" w:hAnsi="Arial" w:cs="Arial"/>
        </w:rPr>
        <w:t xml:space="preserve">a diverse workforce </w:t>
      </w:r>
      <w:r w:rsidR="00916094">
        <w:rPr>
          <w:rFonts w:ascii="Arial" w:hAnsi="Arial" w:cs="Arial"/>
        </w:rPr>
        <w:t xml:space="preserve">with a range of experiences </w:t>
      </w:r>
      <w:r w:rsidR="006A7B67">
        <w:rPr>
          <w:rFonts w:ascii="Arial" w:hAnsi="Arial" w:cs="Arial"/>
        </w:rPr>
        <w:t xml:space="preserve">that reflect the </w:t>
      </w:r>
      <w:r w:rsidR="00E03739">
        <w:rPr>
          <w:rFonts w:ascii="Arial" w:hAnsi="Arial" w:cs="Arial"/>
        </w:rPr>
        <w:t xml:space="preserve">people and the </w:t>
      </w:r>
      <w:r w:rsidR="006A7B67">
        <w:rPr>
          <w:rFonts w:ascii="Arial" w:hAnsi="Arial" w:cs="Arial"/>
        </w:rPr>
        <w:t xml:space="preserve">values of our community.  </w:t>
      </w:r>
    </w:p>
    <w:p w14:paraId="2FD282CA" w14:textId="77777777" w:rsidR="003B16C3" w:rsidRPr="00E13F47" w:rsidRDefault="003B16C3" w:rsidP="00A54A91">
      <w:pPr>
        <w:shd w:val="clear" w:color="auto" w:fill="FFFFFF"/>
        <w:spacing w:line="276" w:lineRule="auto"/>
        <w:jc w:val="both"/>
        <w:rPr>
          <w:rFonts w:ascii="Arial" w:hAnsi="Arial" w:cs="Arial"/>
        </w:rPr>
      </w:pPr>
    </w:p>
    <w:p w14:paraId="39F05660" w14:textId="77777777" w:rsidR="003B16C3" w:rsidRPr="00E13F47" w:rsidRDefault="003B16C3" w:rsidP="00A54A91">
      <w:pPr>
        <w:shd w:val="clear" w:color="auto" w:fill="FFFFFF"/>
        <w:spacing w:line="276" w:lineRule="auto"/>
        <w:jc w:val="both"/>
        <w:rPr>
          <w:rFonts w:ascii="Arial" w:hAnsi="Arial" w:cs="Arial"/>
        </w:rPr>
      </w:pPr>
      <w:r w:rsidRPr="00E13F47">
        <w:rPr>
          <w:rFonts w:ascii="Arial" w:hAnsi="Arial" w:cs="Arial"/>
        </w:rPr>
        <w:t xml:space="preserve">We need this community’s partnership to make Oakland the safe community it deserves to be, as well as delivering responsive and trustworthy government services. Please send your feedback and suggestions to me at </w:t>
      </w:r>
      <w:hyperlink r:id="rId11" w:history="1">
        <w:r w:rsidRPr="00E13F47">
          <w:rPr>
            <w:rStyle w:val="Hyperlink"/>
            <w:rFonts w:ascii="Arial" w:hAnsi="Arial" w:cs="Arial"/>
          </w:rPr>
          <w:t>OfficeoftheMayor@oaklandnet.com</w:t>
        </w:r>
      </w:hyperlink>
      <w:r w:rsidRPr="00E13F47">
        <w:rPr>
          <w:rFonts w:ascii="Arial" w:hAnsi="Arial" w:cs="Arial"/>
        </w:rPr>
        <w:t xml:space="preserve">.  </w:t>
      </w:r>
    </w:p>
    <w:p w14:paraId="542E764B" w14:textId="77777777" w:rsidR="003B16C3" w:rsidRPr="00E13F47" w:rsidRDefault="003B16C3" w:rsidP="00A54A91">
      <w:pPr>
        <w:shd w:val="clear" w:color="auto" w:fill="FFFFFF"/>
        <w:spacing w:line="276" w:lineRule="auto"/>
        <w:jc w:val="both"/>
        <w:rPr>
          <w:rFonts w:ascii="Arial" w:hAnsi="Arial" w:cs="Arial"/>
        </w:rPr>
      </w:pPr>
    </w:p>
    <w:p w14:paraId="157CF7C9" w14:textId="77777777" w:rsidR="003B16C3" w:rsidRPr="00E13F47" w:rsidRDefault="003B16C3" w:rsidP="00A54A91">
      <w:pPr>
        <w:shd w:val="clear" w:color="auto" w:fill="FFFFFF"/>
        <w:spacing w:line="276" w:lineRule="auto"/>
        <w:jc w:val="both"/>
        <w:rPr>
          <w:rFonts w:ascii="Arial" w:hAnsi="Arial" w:cs="Arial"/>
        </w:rPr>
      </w:pPr>
      <w:r w:rsidRPr="00E13F47">
        <w:rPr>
          <w:rFonts w:ascii="Arial" w:hAnsi="Arial" w:cs="Arial"/>
        </w:rPr>
        <w:t>Respectfully,</w:t>
      </w:r>
    </w:p>
    <w:p w14:paraId="763A9A01" w14:textId="77777777" w:rsidR="00ED1559" w:rsidRPr="00E13F47" w:rsidRDefault="00ED1559" w:rsidP="00D36108">
      <w:pPr>
        <w:shd w:val="clear" w:color="auto" w:fill="FFFFFF"/>
        <w:jc w:val="both"/>
        <w:rPr>
          <w:rFonts w:ascii="Arial" w:hAnsi="Arial" w:cs="Arial"/>
        </w:rPr>
      </w:pPr>
    </w:p>
    <w:p w14:paraId="41331D36" w14:textId="77777777" w:rsidR="00ED1559" w:rsidRPr="00E13F47" w:rsidRDefault="00ED1559">
      <w:pPr>
        <w:shd w:val="clear" w:color="auto" w:fill="FFFFFF"/>
        <w:jc w:val="both"/>
        <w:rPr>
          <w:rFonts w:ascii="Arial" w:hAnsi="Arial" w:cs="Arial"/>
        </w:rPr>
      </w:pPr>
      <w:r w:rsidRPr="00E13F47">
        <w:rPr>
          <w:rFonts w:ascii="Arial" w:hAnsi="Arial" w:cs="Arial"/>
          <w:noProof/>
        </w:rPr>
        <w:drawing>
          <wp:anchor distT="0" distB="0" distL="114300" distR="114300" simplePos="0" relativeHeight="251673600" behindDoc="1" locked="0" layoutInCell="1" allowOverlap="1" wp14:anchorId="3C90DC69" wp14:editId="1C647B64">
            <wp:simplePos x="0" y="0"/>
            <wp:positionH relativeFrom="column">
              <wp:posOffset>-635</wp:posOffset>
            </wp:positionH>
            <wp:positionV relativeFrom="paragraph">
              <wp:posOffset>-1270</wp:posOffset>
            </wp:positionV>
            <wp:extent cx="1610995" cy="706755"/>
            <wp:effectExtent l="0" t="0" r="8255" b="0"/>
            <wp:wrapThrough wrapText="bothSides">
              <wp:wrapPolygon edited="0">
                <wp:start x="0" y="0"/>
                <wp:lineTo x="0" y="20960"/>
                <wp:lineTo x="21455" y="20960"/>
                <wp:lineTo x="214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099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0B0" w:rsidRPr="00E13F47">
        <w:rPr>
          <w:rFonts w:ascii="Arial" w:hAnsi="Arial" w:cs="Arial"/>
        </w:rPr>
        <w:t xml:space="preserve"> </w:t>
      </w:r>
    </w:p>
    <w:p w14:paraId="60F47C67" w14:textId="77777777" w:rsidR="00ED1559" w:rsidRPr="00E13F47" w:rsidRDefault="00ED1559">
      <w:pPr>
        <w:shd w:val="clear" w:color="auto" w:fill="FFFFFF"/>
        <w:jc w:val="both"/>
        <w:rPr>
          <w:rFonts w:ascii="Arial" w:hAnsi="Arial" w:cs="Arial"/>
        </w:rPr>
      </w:pPr>
    </w:p>
    <w:p w14:paraId="1E5568D1" w14:textId="77777777" w:rsidR="00ED1559" w:rsidRPr="00E13F47" w:rsidRDefault="00ED1559">
      <w:pPr>
        <w:shd w:val="clear" w:color="auto" w:fill="FFFFFF"/>
        <w:jc w:val="both"/>
        <w:rPr>
          <w:rFonts w:ascii="Arial" w:hAnsi="Arial" w:cs="Arial"/>
        </w:rPr>
      </w:pPr>
    </w:p>
    <w:p w14:paraId="7C13A1F1" w14:textId="77777777" w:rsidR="00466453" w:rsidRDefault="00466453" w:rsidP="00D36108">
      <w:pPr>
        <w:shd w:val="clear" w:color="auto" w:fill="FFFFFF"/>
        <w:jc w:val="both"/>
        <w:rPr>
          <w:rFonts w:ascii="Arial" w:hAnsi="Arial" w:cs="Arial"/>
        </w:rPr>
      </w:pPr>
    </w:p>
    <w:p w14:paraId="4BF22E2D" w14:textId="77777777" w:rsidR="00466453" w:rsidRDefault="00466453" w:rsidP="00D36108">
      <w:pPr>
        <w:shd w:val="clear" w:color="auto" w:fill="FFFFFF"/>
        <w:jc w:val="both"/>
        <w:rPr>
          <w:rFonts w:ascii="Arial" w:hAnsi="Arial" w:cs="Arial"/>
        </w:rPr>
      </w:pPr>
    </w:p>
    <w:p w14:paraId="52A73ACF" w14:textId="18388926" w:rsidR="009810B0" w:rsidRPr="00E13F47" w:rsidRDefault="00ED1559" w:rsidP="00D36108">
      <w:pPr>
        <w:shd w:val="clear" w:color="auto" w:fill="FFFFFF"/>
        <w:jc w:val="both"/>
        <w:rPr>
          <w:rFonts w:ascii="Arial" w:hAnsi="Arial" w:cs="Arial"/>
        </w:rPr>
      </w:pPr>
      <w:bookmarkStart w:id="0" w:name="_GoBack"/>
      <w:bookmarkEnd w:id="0"/>
      <w:r w:rsidRPr="00E13F47">
        <w:rPr>
          <w:rFonts w:ascii="Arial" w:hAnsi="Arial" w:cs="Arial"/>
          <w:b/>
        </w:rPr>
        <w:t>Oakland Mayor Libby Schaaf</w:t>
      </w:r>
    </w:p>
    <w:p w14:paraId="74880AF6" w14:textId="77777777" w:rsidR="00F03CBE" w:rsidRPr="00E13F47" w:rsidRDefault="00F03CBE" w:rsidP="00D36108">
      <w:pPr>
        <w:spacing w:after="200" w:line="276" w:lineRule="auto"/>
        <w:jc w:val="both"/>
        <w:rPr>
          <w:rFonts w:ascii="Arial" w:eastAsia="Times New Roman" w:hAnsi="Arial" w:cs="Arial"/>
          <w:b/>
          <w:u w:val="single"/>
        </w:rPr>
      </w:pPr>
      <w:r w:rsidRPr="00E13F47">
        <w:rPr>
          <w:rFonts w:ascii="Arial" w:eastAsia="Times New Roman" w:hAnsi="Arial" w:cs="Arial"/>
          <w:b/>
          <w:u w:val="single"/>
        </w:rPr>
        <w:br w:type="page"/>
      </w:r>
    </w:p>
    <w:p w14:paraId="2219718F" w14:textId="13BEF2DD" w:rsidR="00753BE6" w:rsidRPr="00E13F47" w:rsidRDefault="00753BE6" w:rsidP="00D36108">
      <w:pPr>
        <w:shd w:val="clear" w:color="auto" w:fill="FFFFFF"/>
        <w:jc w:val="both"/>
        <w:rPr>
          <w:rFonts w:ascii="Arial" w:eastAsia="Times New Roman" w:hAnsi="Arial" w:cs="Arial"/>
          <w:b/>
          <w:u w:val="single"/>
        </w:rPr>
      </w:pPr>
      <w:r w:rsidRPr="00E13F47">
        <w:rPr>
          <w:rFonts w:ascii="Arial" w:hAnsi="Arial" w:cs="Arial"/>
          <w:b/>
        </w:rPr>
        <w:lastRenderedPageBreak/>
        <w:t xml:space="preserve"> </w:t>
      </w:r>
      <w:r w:rsidRPr="00E13F47">
        <w:rPr>
          <w:rFonts w:ascii="Arial" w:eastAsia="Times New Roman" w:hAnsi="Arial" w:cs="Arial"/>
          <w:b/>
          <w:u w:val="single"/>
        </w:rPr>
        <w:t xml:space="preserve">INTRODUCTION </w:t>
      </w:r>
    </w:p>
    <w:p w14:paraId="1F77BA57" w14:textId="77777777" w:rsidR="003606A5" w:rsidRPr="00E13F47" w:rsidRDefault="003606A5" w:rsidP="00D36108">
      <w:pPr>
        <w:shd w:val="clear" w:color="auto" w:fill="FFFFFF"/>
        <w:jc w:val="both"/>
        <w:rPr>
          <w:rFonts w:ascii="Arial" w:eastAsia="Times New Roman" w:hAnsi="Arial" w:cs="Arial"/>
          <w:b/>
          <w:u w:val="single"/>
        </w:rPr>
      </w:pPr>
    </w:p>
    <w:p w14:paraId="45264DE5" w14:textId="7CD2A296" w:rsidR="00753BE6" w:rsidRPr="00E13F47" w:rsidRDefault="00753BE6" w:rsidP="00D36108">
      <w:pPr>
        <w:shd w:val="clear" w:color="auto" w:fill="FFFFFF"/>
        <w:jc w:val="both"/>
        <w:rPr>
          <w:rFonts w:ascii="Arial" w:eastAsia="Times New Roman" w:hAnsi="Arial" w:cs="Arial"/>
        </w:rPr>
      </w:pPr>
      <w:r w:rsidRPr="00E13F47">
        <w:rPr>
          <w:rFonts w:ascii="Arial" w:eastAsia="Times New Roman" w:hAnsi="Arial" w:cs="Arial"/>
        </w:rPr>
        <w:t xml:space="preserve">The purpose of this </w:t>
      </w:r>
      <w:r w:rsidR="00EE7B06" w:rsidRPr="00E13F47">
        <w:rPr>
          <w:rFonts w:ascii="Arial" w:eastAsia="Times New Roman" w:hAnsi="Arial" w:cs="Arial"/>
        </w:rPr>
        <w:t xml:space="preserve">biannual </w:t>
      </w:r>
      <w:r w:rsidRPr="00E13F47">
        <w:rPr>
          <w:rFonts w:ascii="Arial" w:eastAsia="Times New Roman" w:hAnsi="Arial" w:cs="Arial"/>
        </w:rPr>
        <w:t xml:space="preserve">report is to provide </w:t>
      </w:r>
      <w:r w:rsidR="00AE24B1" w:rsidRPr="00E13F47">
        <w:rPr>
          <w:rFonts w:ascii="Arial" w:eastAsia="Times New Roman" w:hAnsi="Arial" w:cs="Arial"/>
        </w:rPr>
        <w:t>information to</w:t>
      </w:r>
      <w:r w:rsidR="00E73769" w:rsidRPr="00E13F47">
        <w:rPr>
          <w:rFonts w:ascii="Arial" w:eastAsia="Times New Roman" w:hAnsi="Arial" w:cs="Arial"/>
        </w:rPr>
        <w:t xml:space="preserve"> the public </w:t>
      </w:r>
      <w:r w:rsidRPr="00E13F47">
        <w:rPr>
          <w:rFonts w:ascii="Arial" w:eastAsia="Times New Roman" w:hAnsi="Arial" w:cs="Arial"/>
        </w:rPr>
        <w:t xml:space="preserve">regarding police </w:t>
      </w:r>
      <w:r w:rsidR="00DF18D4" w:rsidRPr="00E13F47">
        <w:rPr>
          <w:rFonts w:ascii="Arial" w:eastAsia="Times New Roman" w:hAnsi="Arial" w:cs="Arial"/>
        </w:rPr>
        <w:t>practices</w:t>
      </w:r>
      <w:r w:rsidR="005616A1">
        <w:rPr>
          <w:rFonts w:ascii="Arial" w:eastAsia="Times New Roman" w:hAnsi="Arial" w:cs="Arial"/>
        </w:rPr>
        <w:t>, particularly as it relates to subjects that have been of special interest to our community</w:t>
      </w:r>
      <w:r w:rsidRPr="00E13F47">
        <w:rPr>
          <w:rFonts w:ascii="Arial" w:eastAsia="Times New Roman" w:hAnsi="Arial" w:cs="Arial"/>
        </w:rPr>
        <w:t xml:space="preserve">. The period </w:t>
      </w:r>
      <w:r w:rsidR="003A2449" w:rsidRPr="00E13F47">
        <w:rPr>
          <w:rFonts w:ascii="Arial" w:eastAsia="Times New Roman" w:hAnsi="Arial" w:cs="Arial"/>
        </w:rPr>
        <w:t>covered by</w:t>
      </w:r>
      <w:r w:rsidRPr="00E13F47">
        <w:rPr>
          <w:rFonts w:ascii="Arial" w:eastAsia="Times New Roman" w:hAnsi="Arial" w:cs="Arial"/>
        </w:rPr>
        <w:t xml:space="preserve"> this report is January through </w:t>
      </w:r>
      <w:r w:rsidR="00DE3694" w:rsidRPr="00E13F47">
        <w:rPr>
          <w:rFonts w:ascii="Arial" w:eastAsia="Times New Roman" w:hAnsi="Arial" w:cs="Arial"/>
        </w:rPr>
        <w:t xml:space="preserve">June </w:t>
      </w:r>
      <w:r w:rsidRPr="00E13F47">
        <w:rPr>
          <w:rFonts w:ascii="Arial" w:eastAsia="Times New Roman" w:hAnsi="Arial" w:cs="Arial"/>
        </w:rPr>
        <w:t>of 201</w:t>
      </w:r>
      <w:r w:rsidR="00860BAE" w:rsidRPr="00E13F47">
        <w:rPr>
          <w:rFonts w:ascii="Arial" w:eastAsia="Times New Roman" w:hAnsi="Arial" w:cs="Arial"/>
        </w:rPr>
        <w:t>9</w:t>
      </w:r>
      <w:r w:rsidR="005616A1">
        <w:rPr>
          <w:rFonts w:ascii="Arial" w:eastAsia="Times New Roman" w:hAnsi="Arial" w:cs="Arial"/>
        </w:rPr>
        <w:t xml:space="preserve"> and </w:t>
      </w:r>
      <w:r w:rsidRPr="00E13F47">
        <w:rPr>
          <w:rFonts w:ascii="Arial" w:eastAsia="Times New Roman" w:hAnsi="Arial" w:cs="Arial"/>
        </w:rPr>
        <w:t xml:space="preserve">provides updates on the following </w:t>
      </w:r>
      <w:r w:rsidR="005616A1">
        <w:rPr>
          <w:rFonts w:ascii="Arial" w:eastAsia="Times New Roman" w:hAnsi="Arial" w:cs="Arial"/>
        </w:rPr>
        <w:t>subjects</w:t>
      </w:r>
      <w:r w:rsidRPr="00E13F47">
        <w:rPr>
          <w:rFonts w:ascii="Arial" w:eastAsia="Times New Roman" w:hAnsi="Arial" w:cs="Arial"/>
        </w:rPr>
        <w:t xml:space="preserve">: </w:t>
      </w:r>
    </w:p>
    <w:p w14:paraId="698726F3" w14:textId="77777777" w:rsidR="00753BE6" w:rsidRPr="00E13F47" w:rsidRDefault="00753BE6" w:rsidP="00D36108">
      <w:pPr>
        <w:shd w:val="clear" w:color="auto" w:fill="FFFFFF"/>
        <w:jc w:val="both"/>
        <w:rPr>
          <w:rFonts w:ascii="Arial" w:eastAsia="Times New Roman" w:hAnsi="Arial" w:cs="Arial"/>
        </w:rPr>
      </w:pPr>
      <w:r w:rsidRPr="00E13F47">
        <w:rPr>
          <w:rFonts w:ascii="Arial" w:eastAsia="Times New Roman" w:hAnsi="Arial" w:cs="Arial"/>
        </w:rPr>
        <w:t xml:space="preserve"> </w:t>
      </w:r>
    </w:p>
    <w:p w14:paraId="4D3BE0E4" w14:textId="3561D1DC" w:rsidR="00753BE6" w:rsidRPr="00E13F47" w:rsidRDefault="004B7A24" w:rsidP="00D36108">
      <w:pPr>
        <w:pStyle w:val="ListParagraph"/>
        <w:numPr>
          <w:ilvl w:val="0"/>
          <w:numId w:val="41"/>
        </w:numPr>
        <w:shd w:val="clear" w:color="auto" w:fill="FFFFFF"/>
        <w:jc w:val="both"/>
        <w:rPr>
          <w:rFonts w:ascii="Arial" w:eastAsia="Times New Roman" w:hAnsi="Arial" w:cs="Arial"/>
        </w:rPr>
      </w:pPr>
      <w:r w:rsidRPr="00E13F47">
        <w:rPr>
          <w:rFonts w:ascii="Arial" w:eastAsia="Times New Roman" w:hAnsi="Arial" w:cs="Arial"/>
        </w:rPr>
        <w:t xml:space="preserve">Trends in </w:t>
      </w:r>
      <w:r w:rsidR="00EA6C44" w:rsidRPr="00E13F47">
        <w:rPr>
          <w:rFonts w:ascii="Arial" w:eastAsia="Times New Roman" w:hAnsi="Arial" w:cs="Arial"/>
        </w:rPr>
        <w:t>misconduct complaint</w:t>
      </w:r>
      <w:r w:rsidR="000C2654">
        <w:rPr>
          <w:rFonts w:ascii="Arial" w:eastAsia="Times New Roman" w:hAnsi="Arial" w:cs="Arial"/>
        </w:rPr>
        <w:t>s</w:t>
      </w:r>
      <w:r w:rsidR="008464C5">
        <w:rPr>
          <w:rFonts w:ascii="Arial" w:eastAsia="Times New Roman" w:hAnsi="Arial" w:cs="Arial"/>
        </w:rPr>
        <w:t xml:space="preserve"> and </w:t>
      </w:r>
      <w:r w:rsidR="008C6E54" w:rsidRPr="00E13F47">
        <w:rPr>
          <w:rFonts w:ascii="Arial" w:eastAsia="Times New Roman" w:hAnsi="Arial" w:cs="Arial"/>
        </w:rPr>
        <w:t>uses of force</w:t>
      </w:r>
      <w:r w:rsidR="00753BE6" w:rsidRPr="00E13F47">
        <w:rPr>
          <w:rFonts w:ascii="Arial" w:eastAsia="Times New Roman" w:hAnsi="Arial" w:cs="Arial"/>
        </w:rPr>
        <w:t xml:space="preserve">; </w:t>
      </w:r>
    </w:p>
    <w:p w14:paraId="34CB6FD7" w14:textId="0E5A4081" w:rsidR="004B7A24" w:rsidRPr="00E13F47" w:rsidRDefault="005641A6" w:rsidP="00D36108">
      <w:pPr>
        <w:pStyle w:val="ListParagraph"/>
        <w:numPr>
          <w:ilvl w:val="0"/>
          <w:numId w:val="41"/>
        </w:numPr>
        <w:shd w:val="clear" w:color="auto" w:fill="FFFFFF"/>
        <w:jc w:val="both"/>
        <w:rPr>
          <w:rFonts w:ascii="Arial" w:eastAsia="Times New Roman" w:hAnsi="Arial" w:cs="Arial"/>
        </w:rPr>
      </w:pPr>
      <w:r w:rsidRPr="00E13F47">
        <w:rPr>
          <w:rFonts w:ascii="Arial" w:eastAsia="Times New Roman" w:hAnsi="Arial" w:cs="Arial"/>
        </w:rPr>
        <w:t xml:space="preserve">Department </w:t>
      </w:r>
      <w:r w:rsidR="00C547A4" w:rsidRPr="00E13F47">
        <w:rPr>
          <w:rFonts w:ascii="Arial" w:eastAsia="Times New Roman" w:hAnsi="Arial" w:cs="Arial"/>
        </w:rPr>
        <w:t>d</w:t>
      </w:r>
      <w:r w:rsidRPr="00E13F47">
        <w:rPr>
          <w:rFonts w:ascii="Arial" w:eastAsia="Times New Roman" w:hAnsi="Arial" w:cs="Arial"/>
        </w:rPr>
        <w:t>emographics</w:t>
      </w:r>
      <w:r w:rsidR="003D0563">
        <w:rPr>
          <w:rFonts w:ascii="Arial" w:eastAsia="Times New Roman" w:hAnsi="Arial" w:cs="Arial"/>
        </w:rPr>
        <w:t>;</w:t>
      </w:r>
      <w:r w:rsidR="004B7A24" w:rsidRPr="00E13F47">
        <w:rPr>
          <w:rFonts w:ascii="Arial" w:eastAsia="Times New Roman" w:hAnsi="Arial" w:cs="Arial"/>
        </w:rPr>
        <w:t xml:space="preserve"> </w:t>
      </w:r>
    </w:p>
    <w:p w14:paraId="04BDDF53" w14:textId="77777777" w:rsidR="005616A1" w:rsidRDefault="00753BE6" w:rsidP="00D36108">
      <w:pPr>
        <w:pStyle w:val="ListParagraph"/>
        <w:numPr>
          <w:ilvl w:val="0"/>
          <w:numId w:val="41"/>
        </w:numPr>
        <w:shd w:val="clear" w:color="auto" w:fill="FFFFFF"/>
        <w:jc w:val="both"/>
        <w:rPr>
          <w:rFonts w:ascii="Arial" w:eastAsia="Times New Roman" w:hAnsi="Arial" w:cs="Arial"/>
        </w:rPr>
      </w:pPr>
      <w:r w:rsidRPr="00E13F47">
        <w:rPr>
          <w:rFonts w:ascii="Arial" w:eastAsia="Times New Roman" w:hAnsi="Arial" w:cs="Arial"/>
        </w:rPr>
        <w:t>Progress on the Negotiated Settlement Agreement</w:t>
      </w:r>
      <w:r w:rsidR="005616A1">
        <w:rPr>
          <w:rFonts w:ascii="Arial" w:eastAsia="Times New Roman" w:hAnsi="Arial" w:cs="Arial"/>
        </w:rPr>
        <w:t>; and</w:t>
      </w:r>
    </w:p>
    <w:p w14:paraId="6BDE1910" w14:textId="5E8D11D1" w:rsidR="005616A1" w:rsidRPr="00E13F47" w:rsidRDefault="005616A1" w:rsidP="005616A1">
      <w:pPr>
        <w:pStyle w:val="ListParagraph"/>
        <w:numPr>
          <w:ilvl w:val="0"/>
          <w:numId w:val="41"/>
        </w:numPr>
        <w:shd w:val="clear" w:color="auto" w:fill="FFFFFF"/>
        <w:jc w:val="both"/>
        <w:rPr>
          <w:rFonts w:ascii="Arial" w:eastAsia="Times New Roman" w:hAnsi="Arial" w:cs="Arial"/>
        </w:rPr>
      </w:pPr>
      <w:r w:rsidRPr="00E13F47">
        <w:rPr>
          <w:rFonts w:ascii="Arial" w:eastAsia="Times New Roman" w:hAnsi="Arial" w:cs="Arial"/>
        </w:rPr>
        <w:t>Oakland Police Department data collection</w:t>
      </w:r>
      <w:r>
        <w:rPr>
          <w:rFonts w:ascii="Arial" w:eastAsia="Times New Roman" w:hAnsi="Arial" w:cs="Arial"/>
        </w:rPr>
        <w:t>.</w:t>
      </w:r>
      <w:r w:rsidRPr="00E13F47">
        <w:rPr>
          <w:rFonts w:ascii="Arial" w:eastAsia="Times New Roman" w:hAnsi="Arial" w:cs="Arial"/>
        </w:rPr>
        <w:t xml:space="preserve"> </w:t>
      </w:r>
    </w:p>
    <w:p w14:paraId="05314F25" w14:textId="77777777" w:rsidR="00576E08" w:rsidRPr="00E13F47" w:rsidRDefault="00576E08" w:rsidP="00FD2B86">
      <w:pPr>
        <w:jc w:val="both"/>
        <w:rPr>
          <w:rFonts w:ascii="Arial" w:eastAsia="Times New Roman" w:hAnsi="Arial" w:cs="Arial"/>
          <w:bCs/>
        </w:rPr>
      </w:pPr>
    </w:p>
    <w:p w14:paraId="07B29C7A" w14:textId="616E990B" w:rsidR="00753BE6" w:rsidRPr="00E13F47" w:rsidRDefault="002F1586" w:rsidP="00E13F47">
      <w:pPr>
        <w:spacing w:after="200" w:line="276" w:lineRule="auto"/>
        <w:rPr>
          <w:rFonts w:ascii="Arial" w:eastAsia="Times New Roman" w:hAnsi="Arial" w:cs="Arial"/>
          <w:u w:val="single"/>
        </w:rPr>
      </w:pPr>
      <w:r w:rsidRPr="00E13F47">
        <w:rPr>
          <w:rFonts w:ascii="Arial" w:eastAsia="Times New Roman" w:hAnsi="Arial" w:cs="Arial"/>
          <w:b/>
          <w:u w:val="single"/>
        </w:rPr>
        <w:t>COMPLAINTS</w:t>
      </w:r>
      <w:r w:rsidR="00EA6C44" w:rsidRPr="00E13F47">
        <w:rPr>
          <w:rFonts w:ascii="Arial" w:eastAsia="Times New Roman" w:hAnsi="Arial" w:cs="Arial"/>
          <w:b/>
          <w:u w:val="single"/>
        </w:rPr>
        <w:t xml:space="preserve"> </w:t>
      </w:r>
    </w:p>
    <w:p w14:paraId="25EB22EE" w14:textId="583B9D70" w:rsidR="00D77566" w:rsidRDefault="00753BE6" w:rsidP="00AE24B1">
      <w:pPr>
        <w:shd w:val="clear" w:color="auto" w:fill="FFFFFF"/>
        <w:jc w:val="both"/>
        <w:rPr>
          <w:rFonts w:ascii="Arial" w:hAnsi="Arial" w:cs="Arial"/>
        </w:rPr>
      </w:pPr>
      <w:r w:rsidRPr="00E13F47">
        <w:rPr>
          <w:rFonts w:ascii="Arial" w:eastAsia="Times New Roman" w:hAnsi="Arial" w:cs="Arial"/>
        </w:rPr>
        <w:t xml:space="preserve">The practices, policies and procedures that govern </w:t>
      </w:r>
      <w:r w:rsidR="0047462B" w:rsidRPr="00E13F47">
        <w:rPr>
          <w:rFonts w:ascii="Arial" w:eastAsia="Times New Roman" w:hAnsi="Arial" w:cs="Arial"/>
        </w:rPr>
        <w:t>OPD</w:t>
      </w:r>
      <w:r w:rsidR="00A23C5A" w:rsidRPr="00E13F47">
        <w:rPr>
          <w:rFonts w:ascii="Arial" w:eastAsia="Times New Roman" w:hAnsi="Arial" w:cs="Arial"/>
        </w:rPr>
        <w:t xml:space="preserve"> </w:t>
      </w:r>
      <w:r w:rsidR="000276A0" w:rsidRPr="00E13F47">
        <w:rPr>
          <w:rFonts w:ascii="Arial" w:eastAsia="Times New Roman" w:hAnsi="Arial" w:cs="Arial"/>
        </w:rPr>
        <w:t xml:space="preserve">sworn and civilian </w:t>
      </w:r>
      <w:r w:rsidR="00A23C5A" w:rsidRPr="00E13F47">
        <w:rPr>
          <w:rFonts w:ascii="Arial" w:eastAsia="Times New Roman" w:hAnsi="Arial" w:cs="Arial"/>
        </w:rPr>
        <w:t>employee</w:t>
      </w:r>
      <w:r w:rsidRPr="00E13F47">
        <w:rPr>
          <w:rFonts w:ascii="Arial" w:eastAsia="Times New Roman" w:hAnsi="Arial" w:cs="Arial"/>
        </w:rPr>
        <w:t xml:space="preserve"> conduct are </w:t>
      </w:r>
      <w:r w:rsidR="0047462B" w:rsidRPr="00E13F47">
        <w:rPr>
          <w:rFonts w:ascii="Arial" w:eastAsia="Times New Roman" w:hAnsi="Arial" w:cs="Arial"/>
        </w:rPr>
        <w:t>set f</w:t>
      </w:r>
      <w:r w:rsidR="00A23C5A" w:rsidRPr="00E13F47">
        <w:rPr>
          <w:rFonts w:ascii="Arial" w:eastAsia="Times New Roman" w:hAnsi="Arial" w:cs="Arial"/>
        </w:rPr>
        <w:t>orth in the OPD Manual of Rules (MOR</w:t>
      </w:r>
      <w:r w:rsidR="000276A0" w:rsidRPr="00E13F47">
        <w:rPr>
          <w:rFonts w:ascii="Arial" w:eastAsia="Times New Roman" w:hAnsi="Arial" w:cs="Arial"/>
        </w:rPr>
        <w:t>)</w:t>
      </w:r>
      <w:r w:rsidRPr="00E13F47">
        <w:rPr>
          <w:rFonts w:ascii="Arial" w:eastAsia="Times New Roman" w:hAnsi="Arial" w:cs="Arial"/>
        </w:rPr>
        <w:t>. OPD closely tracks</w:t>
      </w:r>
      <w:r w:rsidR="005616A1">
        <w:rPr>
          <w:rFonts w:ascii="Arial" w:eastAsia="Times New Roman" w:hAnsi="Arial" w:cs="Arial"/>
        </w:rPr>
        <w:t xml:space="preserve">, </w:t>
      </w:r>
      <w:r w:rsidRPr="00E13F47">
        <w:rPr>
          <w:rFonts w:ascii="Arial" w:eastAsia="Times New Roman" w:hAnsi="Arial" w:cs="Arial"/>
        </w:rPr>
        <w:t xml:space="preserve">monitors </w:t>
      </w:r>
      <w:r w:rsidR="00756378" w:rsidRPr="00E13F47">
        <w:rPr>
          <w:rFonts w:ascii="Arial" w:eastAsia="Times New Roman" w:hAnsi="Arial" w:cs="Arial"/>
        </w:rPr>
        <w:t xml:space="preserve">and processes </w:t>
      </w:r>
      <w:r w:rsidRPr="00E13F47">
        <w:rPr>
          <w:rFonts w:ascii="Arial" w:eastAsia="Times New Roman" w:hAnsi="Arial" w:cs="Arial"/>
        </w:rPr>
        <w:t>complaints.</w:t>
      </w:r>
      <w:r w:rsidR="002F1586" w:rsidRPr="00E13F47">
        <w:rPr>
          <w:rFonts w:ascii="Arial" w:hAnsi="Arial" w:cs="Arial"/>
        </w:rPr>
        <w:t xml:space="preserve"> </w:t>
      </w:r>
      <w:r w:rsidR="002F1586" w:rsidRPr="00E13F47">
        <w:rPr>
          <w:rFonts w:ascii="Arial" w:eastAsia="Times New Roman" w:hAnsi="Arial" w:cs="Arial"/>
        </w:rPr>
        <w:t>OPD investigates all misconduct complaints from any source (including anonymous</w:t>
      </w:r>
      <w:r w:rsidR="005616A1">
        <w:rPr>
          <w:rFonts w:ascii="Arial" w:eastAsia="Times New Roman" w:hAnsi="Arial" w:cs="Arial"/>
        </w:rPr>
        <w:t xml:space="preserve"> complaints</w:t>
      </w:r>
      <w:r w:rsidR="002F1586" w:rsidRPr="00E13F47">
        <w:rPr>
          <w:rFonts w:ascii="Arial" w:eastAsia="Times New Roman" w:hAnsi="Arial" w:cs="Arial"/>
        </w:rPr>
        <w:t>) against a</w:t>
      </w:r>
      <w:r w:rsidR="00756378" w:rsidRPr="00E13F47">
        <w:rPr>
          <w:rFonts w:ascii="Arial" w:eastAsia="Times New Roman" w:hAnsi="Arial" w:cs="Arial"/>
        </w:rPr>
        <w:t>ny</w:t>
      </w:r>
      <w:r w:rsidR="002F1586" w:rsidRPr="00E13F47">
        <w:rPr>
          <w:rFonts w:ascii="Arial" w:eastAsia="Times New Roman" w:hAnsi="Arial" w:cs="Arial"/>
        </w:rPr>
        <w:t xml:space="preserve"> member or employee</w:t>
      </w:r>
      <w:r w:rsidR="000B0107" w:rsidRPr="00E13F47">
        <w:rPr>
          <w:rFonts w:ascii="Arial" w:eastAsia="Times New Roman" w:hAnsi="Arial" w:cs="Arial"/>
        </w:rPr>
        <w:t>.</w:t>
      </w:r>
      <w:r w:rsidR="002F1586" w:rsidRPr="00E13F47">
        <w:rPr>
          <w:rFonts w:ascii="Arial" w:eastAsia="Times New Roman" w:hAnsi="Arial" w:cs="Arial"/>
        </w:rPr>
        <w:t xml:space="preserve"> </w:t>
      </w:r>
      <w:r w:rsidRPr="00E13F47">
        <w:rPr>
          <w:rFonts w:ascii="Arial" w:eastAsia="Times New Roman" w:hAnsi="Arial" w:cs="Arial"/>
        </w:rPr>
        <w:t>OPD's complaint acceptance policy can be viewed</w:t>
      </w:r>
      <w:hyperlink r:id="rId13" w:history="1">
        <w:r w:rsidRPr="00E13F47">
          <w:rPr>
            <w:rStyle w:val="Hyperlink"/>
            <w:rFonts w:ascii="Arial" w:eastAsia="Times New Roman" w:hAnsi="Arial" w:cs="Arial"/>
            <w:u w:val="none"/>
          </w:rPr>
          <w:t xml:space="preserve"> </w:t>
        </w:r>
        <w:r w:rsidRPr="00E13F47">
          <w:rPr>
            <w:rStyle w:val="Hyperlink"/>
            <w:rFonts w:ascii="Arial" w:eastAsia="Times New Roman" w:hAnsi="Arial" w:cs="Arial"/>
          </w:rPr>
          <w:t>here</w:t>
        </w:r>
      </w:hyperlink>
      <w:r w:rsidRPr="00E13F47">
        <w:rPr>
          <w:rFonts w:ascii="Arial" w:eastAsia="Times New Roman" w:hAnsi="Arial" w:cs="Arial"/>
        </w:rPr>
        <w:t>.</w:t>
      </w:r>
      <w:r w:rsidR="00225A0A" w:rsidRPr="00E13F47">
        <w:rPr>
          <w:rFonts w:ascii="Arial" w:eastAsia="Times New Roman" w:hAnsi="Arial" w:cs="Arial"/>
        </w:rPr>
        <w:t xml:space="preserve">  </w:t>
      </w:r>
      <w:r w:rsidR="00225A0A" w:rsidRPr="00E13F47">
        <w:rPr>
          <w:rFonts w:ascii="Arial" w:hAnsi="Arial" w:cs="Arial"/>
        </w:rPr>
        <w:t>Additionally, the City’s Community Police Review Agency</w:t>
      </w:r>
      <w:r w:rsidR="009A7291" w:rsidRPr="00E13F47">
        <w:rPr>
          <w:rFonts w:ascii="Arial" w:hAnsi="Arial" w:cs="Arial"/>
        </w:rPr>
        <w:t xml:space="preserve"> accepts complaints and</w:t>
      </w:r>
      <w:r w:rsidR="00225A0A" w:rsidRPr="00E13F47">
        <w:rPr>
          <w:rFonts w:ascii="Arial" w:hAnsi="Arial" w:cs="Arial"/>
        </w:rPr>
        <w:t xml:space="preserve"> conducts independent investigations</w:t>
      </w:r>
      <w:r w:rsidR="005616A1">
        <w:rPr>
          <w:rFonts w:ascii="Arial" w:hAnsi="Arial" w:cs="Arial"/>
        </w:rPr>
        <w:t xml:space="preserve">. </w:t>
      </w:r>
      <w:r w:rsidR="00B12F3B" w:rsidRPr="00E13F47">
        <w:rPr>
          <w:rFonts w:ascii="Arial" w:hAnsi="Arial" w:cs="Arial"/>
        </w:rPr>
        <w:t xml:space="preserve">OPD closely tracks and monitors complaints against </w:t>
      </w:r>
      <w:r w:rsidRPr="00E13F47">
        <w:rPr>
          <w:rFonts w:ascii="Arial" w:hAnsi="Arial" w:cs="Arial"/>
        </w:rPr>
        <w:t xml:space="preserve">all employees </w:t>
      </w:r>
      <w:r w:rsidR="00B12F3B" w:rsidRPr="00E13F47">
        <w:rPr>
          <w:rFonts w:ascii="Arial" w:hAnsi="Arial" w:cs="Arial"/>
        </w:rPr>
        <w:t xml:space="preserve">and </w:t>
      </w:r>
      <w:r w:rsidR="007E3160" w:rsidRPr="00E13F47">
        <w:rPr>
          <w:rFonts w:ascii="Arial" w:hAnsi="Arial" w:cs="Arial"/>
        </w:rPr>
        <w:t xml:space="preserve">regularly </w:t>
      </w:r>
      <w:r w:rsidR="00B12F3B" w:rsidRPr="00E13F47">
        <w:rPr>
          <w:rFonts w:ascii="Arial" w:hAnsi="Arial" w:cs="Arial"/>
        </w:rPr>
        <w:t>review</w:t>
      </w:r>
      <w:r w:rsidR="007E3160" w:rsidRPr="00E13F47">
        <w:rPr>
          <w:rFonts w:ascii="Arial" w:hAnsi="Arial" w:cs="Arial"/>
        </w:rPr>
        <w:t>s</w:t>
      </w:r>
      <w:r w:rsidR="002F226A" w:rsidRPr="00E13F47">
        <w:rPr>
          <w:rFonts w:ascii="Arial" w:hAnsi="Arial" w:cs="Arial"/>
        </w:rPr>
        <w:t xml:space="preserve"> </w:t>
      </w:r>
      <w:r w:rsidRPr="00E13F47">
        <w:rPr>
          <w:rFonts w:ascii="Arial" w:hAnsi="Arial" w:cs="Arial"/>
        </w:rPr>
        <w:t>several risk factors</w:t>
      </w:r>
      <w:r w:rsidR="002F226A" w:rsidRPr="00E13F47">
        <w:rPr>
          <w:rFonts w:ascii="Arial" w:hAnsi="Arial" w:cs="Arial"/>
        </w:rPr>
        <w:t xml:space="preserve">, looking for early signs that individual </w:t>
      </w:r>
      <w:r w:rsidR="00A11F1B" w:rsidRPr="00E13F47">
        <w:rPr>
          <w:rFonts w:ascii="Arial" w:hAnsi="Arial" w:cs="Arial"/>
        </w:rPr>
        <w:t xml:space="preserve">employees, </w:t>
      </w:r>
      <w:r w:rsidR="002F226A" w:rsidRPr="00E13F47">
        <w:rPr>
          <w:rFonts w:ascii="Arial" w:hAnsi="Arial" w:cs="Arial"/>
        </w:rPr>
        <w:t>officers or squads need interventions, as well as searching for overall trends that suggest a need for new policies or training</w:t>
      </w:r>
      <w:r w:rsidR="00B12F3B" w:rsidRPr="00E13F47">
        <w:rPr>
          <w:rFonts w:ascii="Arial" w:hAnsi="Arial" w:cs="Arial"/>
        </w:rPr>
        <w:t>.</w:t>
      </w:r>
    </w:p>
    <w:p w14:paraId="1F3892F7" w14:textId="586AE027" w:rsidR="005E3B00" w:rsidRDefault="005E3B00" w:rsidP="00AE24B1">
      <w:pPr>
        <w:shd w:val="clear" w:color="auto" w:fill="FFFFFF"/>
        <w:jc w:val="both"/>
        <w:rPr>
          <w:rFonts w:ascii="Arial" w:hAnsi="Arial" w:cs="Arial"/>
        </w:rPr>
      </w:pPr>
    </w:p>
    <w:p w14:paraId="17260A84" w14:textId="44F06D10" w:rsidR="005E3B00" w:rsidRPr="005E3B00" w:rsidRDefault="005E3B00" w:rsidP="005E3B00">
      <w:pPr>
        <w:shd w:val="clear" w:color="auto" w:fill="FFFFFF"/>
        <w:jc w:val="center"/>
        <w:rPr>
          <w:rFonts w:ascii="Arial" w:hAnsi="Arial" w:cs="Arial"/>
          <w:b/>
          <w:bCs/>
        </w:rPr>
      </w:pPr>
      <w:r w:rsidRPr="005E3B00">
        <w:rPr>
          <w:rFonts w:ascii="Arial" w:hAnsi="Arial" w:cs="Arial"/>
          <w:b/>
          <w:bCs/>
        </w:rPr>
        <w:t>COMPLAINTS 2012 – Q2 2019</w:t>
      </w:r>
    </w:p>
    <w:p w14:paraId="48B24936" w14:textId="7AAF8477" w:rsidR="003043D7" w:rsidRPr="00E13F47" w:rsidRDefault="003043D7" w:rsidP="00AE24B1">
      <w:pPr>
        <w:shd w:val="clear" w:color="auto" w:fill="FFFFFF"/>
        <w:jc w:val="both"/>
        <w:rPr>
          <w:rFonts w:ascii="Arial" w:hAnsi="Arial" w:cs="Arial"/>
        </w:rPr>
      </w:pPr>
    </w:p>
    <w:p w14:paraId="19221B89" w14:textId="2248DB7D" w:rsidR="00A41FB7" w:rsidRPr="00E13F47" w:rsidRDefault="00EB32CB" w:rsidP="00E13F47">
      <w:pPr>
        <w:shd w:val="clear" w:color="auto" w:fill="FFFFFF"/>
        <w:jc w:val="center"/>
        <w:rPr>
          <w:rFonts w:ascii="Arial" w:hAnsi="Arial" w:cs="Arial"/>
        </w:rPr>
      </w:pPr>
      <w:r w:rsidRPr="00E13F47">
        <w:rPr>
          <w:rFonts w:ascii="Arial" w:eastAsia="Times New Roman" w:hAnsi="Arial" w:cs="Arial"/>
          <w:noProof/>
          <w:u w:val="single"/>
        </w:rPr>
        <w:drawing>
          <wp:inline distT="0" distB="0" distL="0" distR="0" wp14:anchorId="2117F8D4" wp14:editId="296C2BCE">
            <wp:extent cx="6162675" cy="30003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D58232" w14:textId="77777777" w:rsidR="005E3B00" w:rsidRDefault="005E3B00" w:rsidP="000D32D0">
      <w:pPr>
        <w:spacing w:after="200"/>
        <w:jc w:val="both"/>
        <w:rPr>
          <w:rFonts w:ascii="Arial" w:hAnsi="Arial" w:cs="Arial"/>
        </w:rPr>
      </w:pPr>
    </w:p>
    <w:p w14:paraId="491BD30D" w14:textId="268EBC2F" w:rsidR="001F1FFF" w:rsidRPr="00E13F47" w:rsidRDefault="00875FB5" w:rsidP="000D32D0">
      <w:pPr>
        <w:spacing w:after="200"/>
        <w:jc w:val="both"/>
        <w:rPr>
          <w:rFonts w:ascii="Arial" w:eastAsia="Times New Roman" w:hAnsi="Arial" w:cs="Arial"/>
        </w:rPr>
      </w:pPr>
      <w:r>
        <w:rPr>
          <w:rFonts w:ascii="Arial" w:hAnsi="Arial" w:cs="Arial"/>
        </w:rPr>
        <w:t xml:space="preserve">Although the trend has been downward since 2012, </w:t>
      </w:r>
      <w:r w:rsidR="005616A1">
        <w:rPr>
          <w:rFonts w:ascii="Arial" w:hAnsi="Arial" w:cs="Arial"/>
        </w:rPr>
        <w:t xml:space="preserve">OPD has had a </w:t>
      </w:r>
      <w:r>
        <w:rPr>
          <w:rFonts w:ascii="Arial" w:hAnsi="Arial" w:cs="Arial"/>
        </w:rPr>
        <w:t>slight increase in complaints over the last two-year period. During this time O</w:t>
      </w:r>
      <w:r w:rsidR="00A41FB7" w:rsidRPr="00E13F47">
        <w:rPr>
          <w:rFonts w:ascii="Arial" w:hAnsi="Arial" w:cs="Arial"/>
        </w:rPr>
        <w:t>PD</w:t>
      </w:r>
      <w:r>
        <w:rPr>
          <w:rFonts w:ascii="Arial" w:hAnsi="Arial" w:cs="Arial"/>
        </w:rPr>
        <w:t xml:space="preserve"> the numbers of calls for service and community contacts has increased, as well as</w:t>
      </w:r>
      <w:r w:rsidR="00A41FB7" w:rsidRPr="00E13F47">
        <w:rPr>
          <w:rFonts w:ascii="Arial" w:hAnsi="Arial" w:cs="Arial"/>
        </w:rPr>
        <w:t xml:space="preserve"> </w:t>
      </w:r>
      <w:r w:rsidR="00C80C7E">
        <w:rPr>
          <w:rFonts w:ascii="Arial" w:hAnsi="Arial" w:cs="Arial"/>
        </w:rPr>
        <w:t xml:space="preserve">an </w:t>
      </w:r>
      <w:r w:rsidR="00A41FB7" w:rsidRPr="00E13F47">
        <w:rPr>
          <w:rFonts w:ascii="Arial" w:hAnsi="Arial" w:cs="Arial"/>
        </w:rPr>
        <w:t>expanded definition of conduct that is categorized as a</w:t>
      </w:r>
      <w:r w:rsidR="00C80C7E">
        <w:rPr>
          <w:rFonts w:ascii="Arial" w:hAnsi="Arial" w:cs="Arial"/>
        </w:rPr>
        <w:t xml:space="preserve"> complaint</w:t>
      </w:r>
      <w:r w:rsidR="00A41FB7" w:rsidRPr="00E13F47">
        <w:rPr>
          <w:rFonts w:ascii="Arial" w:hAnsi="Arial" w:cs="Arial"/>
        </w:rPr>
        <w:t xml:space="preserve">. </w:t>
      </w:r>
      <w:r w:rsidR="001F1FFF" w:rsidRPr="00E13F47">
        <w:rPr>
          <w:rFonts w:ascii="Arial" w:eastAsia="Times New Roman" w:hAnsi="Arial" w:cs="Arial"/>
        </w:rPr>
        <w:t>Between January 1 and June 30, 2019, 1,463 allegations concerning police services – including misconduct – were filed, resulting in 639 cases.</w:t>
      </w:r>
      <w:r w:rsidR="008315C8">
        <w:rPr>
          <w:rStyle w:val="FootnoteReference"/>
          <w:rFonts w:ascii="Arial" w:eastAsia="Times New Roman" w:hAnsi="Arial" w:cs="Arial"/>
        </w:rPr>
        <w:footnoteReference w:id="1"/>
      </w:r>
      <w:r w:rsidR="001F1FFF" w:rsidRPr="00E13F47">
        <w:rPr>
          <w:rFonts w:ascii="Arial" w:eastAsia="Times New Roman" w:hAnsi="Arial" w:cs="Arial"/>
        </w:rPr>
        <w:t xml:space="preserve"> Th</w:t>
      </w:r>
      <w:r w:rsidR="005E3B00">
        <w:rPr>
          <w:rFonts w:ascii="Arial" w:eastAsia="Times New Roman" w:hAnsi="Arial" w:cs="Arial"/>
        </w:rPr>
        <w:t>ese</w:t>
      </w:r>
      <w:r w:rsidR="001F1FFF" w:rsidRPr="00E13F47">
        <w:rPr>
          <w:rFonts w:ascii="Arial" w:eastAsia="Times New Roman" w:hAnsi="Arial" w:cs="Arial"/>
        </w:rPr>
        <w:t xml:space="preserve"> </w:t>
      </w:r>
      <w:r w:rsidR="0056405B" w:rsidRPr="00E13F47">
        <w:rPr>
          <w:rFonts w:ascii="Arial" w:eastAsia="Times New Roman" w:hAnsi="Arial" w:cs="Arial"/>
        </w:rPr>
        <w:t>chart</w:t>
      </w:r>
      <w:r w:rsidR="005E3B00">
        <w:rPr>
          <w:rFonts w:ascii="Arial" w:eastAsia="Times New Roman" w:hAnsi="Arial" w:cs="Arial"/>
        </w:rPr>
        <w:t>s</w:t>
      </w:r>
      <w:r w:rsidR="0056405B" w:rsidRPr="00E13F47">
        <w:rPr>
          <w:rFonts w:ascii="Arial" w:eastAsia="Times New Roman" w:hAnsi="Arial" w:cs="Arial"/>
        </w:rPr>
        <w:t xml:space="preserve"> </w:t>
      </w:r>
      <w:r w:rsidR="00215270">
        <w:rPr>
          <w:rFonts w:ascii="Arial" w:eastAsia="Times New Roman" w:hAnsi="Arial" w:cs="Arial"/>
        </w:rPr>
        <w:t xml:space="preserve">represent </w:t>
      </w:r>
      <w:r w:rsidR="001F1FFF" w:rsidRPr="00E13F47">
        <w:rPr>
          <w:rFonts w:ascii="Arial" w:eastAsia="Times New Roman" w:hAnsi="Arial" w:cs="Arial"/>
        </w:rPr>
        <w:t xml:space="preserve">complaints against </w:t>
      </w:r>
      <w:r w:rsidR="00215270">
        <w:rPr>
          <w:rFonts w:ascii="Arial" w:eastAsia="Times New Roman" w:hAnsi="Arial" w:cs="Arial"/>
        </w:rPr>
        <w:t>all OPD employee</w:t>
      </w:r>
      <w:r w:rsidR="00C137DB">
        <w:rPr>
          <w:rFonts w:ascii="Arial" w:eastAsia="Times New Roman" w:hAnsi="Arial" w:cs="Arial"/>
        </w:rPr>
        <w:t>s</w:t>
      </w:r>
      <w:r w:rsidR="00024792">
        <w:rPr>
          <w:rFonts w:ascii="Arial" w:eastAsia="Times New Roman" w:hAnsi="Arial" w:cs="Arial"/>
        </w:rPr>
        <w:t xml:space="preserve">, </w:t>
      </w:r>
      <w:r w:rsidR="001F1FFF" w:rsidRPr="00E13F47">
        <w:rPr>
          <w:rFonts w:ascii="Arial" w:eastAsia="Times New Roman" w:hAnsi="Arial" w:cs="Arial"/>
        </w:rPr>
        <w:t>both sworn and professional staff members.</w:t>
      </w:r>
    </w:p>
    <w:p w14:paraId="0BD1AD55" w14:textId="35D941B9" w:rsidR="007B1E70" w:rsidRPr="00E13F47" w:rsidRDefault="009974F1" w:rsidP="00C80C7E">
      <w:pPr>
        <w:spacing w:after="200" w:line="276" w:lineRule="auto"/>
        <w:jc w:val="center"/>
        <w:rPr>
          <w:rFonts w:ascii="Arial" w:eastAsia="Times New Roman" w:hAnsi="Arial" w:cs="Arial"/>
          <w:b/>
          <w:u w:val="single"/>
        </w:rPr>
      </w:pPr>
      <w:r w:rsidRPr="00E13F47">
        <w:rPr>
          <w:rFonts w:ascii="Arial" w:eastAsia="Times New Roman" w:hAnsi="Arial" w:cs="Arial"/>
          <w:b/>
          <w:u w:val="single"/>
        </w:rPr>
        <w:lastRenderedPageBreak/>
        <w:t xml:space="preserve">Complaint </w:t>
      </w:r>
      <w:r w:rsidR="008873D6" w:rsidRPr="00E13F47">
        <w:rPr>
          <w:rFonts w:ascii="Arial" w:eastAsia="Times New Roman" w:hAnsi="Arial" w:cs="Arial"/>
          <w:b/>
          <w:u w:val="single"/>
        </w:rPr>
        <w:t xml:space="preserve">Allegations </w:t>
      </w:r>
      <w:r w:rsidR="002A1FB7" w:rsidRPr="00E13F47">
        <w:rPr>
          <w:rFonts w:ascii="Arial" w:eastAsia="Times New Roman" w:hAnsi="Arial" w:cs="Arial"/>
          <w:b/>
          <w:u w:val="single"/>
        </w:rPr>
        <w:t>January 201</w:t>
      </w:r>
      <w:r w:rsidR="00540E36" w:rsidRPr="00E13F47">
        <w:rPr>
          <w:rFonts w:ascii="Arial" w:eastAsia="Times New Roman" w:hAnsi="Arial" w:cs="Arial"/>
          <w:b/>
          <w:u w:val="single"/>
        </w:rPr>
        <w:t>9</w:t>
      </w:r>
      <w:r w:rsidR="002A1FB7" w:rsidRPr="00E13F47">
        <w:rPr>
          <w:rFonts w:ascii="Arial" w:eastAsia="Times New Roman" w:hAnsi="Arial" w:cs="Arial"/>
          <w:b/>
          <w:u w:val="single"/>
        </w:rPr>
        <w:t xml:space="preserve"> </w:t>
      </w:r>
      <w:r w:rsidR="000407A0" w:rsidRPr="00E13F47">
        <w:rPr>
          <w:rFonts w:ascii="Arial" w:eastAsia="Times New Roman" w:hAnsi="Arial" w:cs="Arial"/>
          <w:b/>
          <w:u w:val="single"/>
        </w:rPr>
        <w:t>to June 2019</w:t>
      </w:r>
    </w:p>
    <w:p w14:paraId="05F352E0" w14:textId="42069EA2" w:rsidR="0017425B" w:rsidRPr="00E13F47" w:rsidRDefault="00871DDC" w:rsidP="00E13F47">
      <w:pPr>
        <w:shd w:val="clear" w:color="auto" w:fill="FFFFFF"/>
        <w:jc w:val="center"/>
        <w:rPr>
          <w:rFonts w:ascii="Arial" w:eastAsia="Times New Roman" w:hAnsi="Arial" w:cs="Arial"/>
        </w:rPr>
      </w:pPr>
      <w:r>
        <w:rPr>
          <w:noProof/>
        </w:rPr>
        <w:drawing>
          <wp:inline distT="0" distB="0" distL="0" distR="0" wp14:anchorId="130095FB" wp14:editId="17913D93">
            <wp:extent cx="6343650" cy="2466975"/>
            <wp:effectExtent l="0" t="0" r="0" b="9525"/>
            <wp:docPr id="15" name="Chart 15">
              <a:extLst xmlns:a="http://schemas.openxmlformats.org/drawingml/2006/main">
                <a:ext uri="{FF2B5EF4-FFF2-40B4-BE49-F238E27FC236}">
                  <a16:creationId xmlns:a16="http://schemas.microsoft.com/office/drawing/2014/main" id="{A8A341CF-2D1C-4A6D-A9F7-FCC43A941A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6120FE" w14:textId="77777777" w:rsidR="00871DDC" w:rsidRDefault="00871DDC" w:rsidP="00AE24B1">
      <w:pPr>
        <w:shd w:val="clear" w:color="auto" w:fill="FFFFFF"/>
        <w:jc w:val="both"/>
        <w:rPr>
          <w:rFonts w:ascii="Arial" w:eastAsia="Times New Roman" w:hAnsi="Arial" w:cs="Arial"/>
        </w:rPr>
      </w:pPr>
    </w:p>
    <w:p w14:paraId="7E3576A9" w14:textId="6ED7944C" w:rsidR="008C1202" w:rsidRPr="00E13F47" w:rsidRDefault="008E28A8" w:rsidP="00AE24B1">
      <w:pPr>
        <w:shd w:val="clear" w:color="auto" w:fill="FFFFFF"/>
        <w:jc w:val="both"/>
        <w:rPr>
          <w:rFonts w:ascii="Arial" w:eastAsia="Times New Roman" w:hAnsi="Arial" w:cs="Arial"/>
        </w:rPr>
      </w:pPr>
      <w:r w:rsidRPr="00E13F47">
        <w:rPr>
          <w:rFonts w:ascii="Arial" w:eastAsia="Times New Roman" w:hAnsi="Arial" w:cs="Arial"/>
        </w:rPr>
        <w:t>Th</w:t>
      </w:r>
      <w:r w:rsidR="00F3461D" w:rsidRPr="00E13F47">
        <w:rPr>
          <w:rFonts w:ascii="Arial" w:eastAsia="Times New Roman" w:hAnsi="Arial" w:cs="Arial"/>
        </w:rPr>
        <w:t>e</w:t>
      </w:r>
      <w:r w:rsidRPr="00E13F47">
        <w:rPr>
          <w:rFonts w:ascii="Arial" w:eastAsia="Times New Roman" w:hAnsi="Arial" w:cs="Arial"/>
        </w:rPr>
        <w:t xml:space="preserve"> chart </w:t>
      </w:r>
      <w:r w:rsidR="00F3461D" w:rsidRPr="00E13F47">
        <w:rPr>
          <w:rFonts w:ascii="Arial" w:eastAsia="Times New Roman" w:hAnsi="Arial" w:cs="Arial"/>
        </w:rPr>
        <w:t xml:space="preserve">above </w:t>
      </w:r>
      <w:r w:rsidRPr="00E13F47">
        <w:rPr>
          <w:rFonts w:ascii="Arial" w:eastAsia="Times New Roman" w:hAnsi="Arial" w:cs="Arial"/>
        </w:rPr>
        <w:t>shows the break</w:t>
      </w:r>
      <w:r w:rsidR="00EA6465" w:rsidRPr="00E13F47">
        <w:rPr>
          <w:rFonts w:ascii="Arial" w:eastAsia="Times New Roman" w:hAnsi="Arial" w:cs="Arial"/>
        </w:rPr>
        <w:t>d</w:t>
      </w:r>
      <w:r w:rsidRPr="00E13F47">
        <w:rPr>
          <w:rFonts w:ascii="Arial" w:eastAsia="Times New Roman" w:hAnsi="Arial" w:cs="Arial"/>
        </w:rPr>
        <w:t>own</w:t>
      </w:r>
      <w:r w:rsidR="00B65BBB" w:rsidRPr="00E13F47">
        <w:rPr>
          <w:rFonts w:ascii="Arial" w:eastAsia="Times New Roman" w:hAnsi="Arial" w:cs="Arial"/>
        </w:rPr>
        <w:t xml:space="preserve"> by type </w:t>
      </w:r>
      <w:r w:rsidRPr="00E13F47">
        <w:rPr>
          <w:rFonts w:ascii="Arial" w:eastAsia="Times New Roman" w:hAnsi="Arial" w:cs="Arial"/>
        </w:rPr>
        <w:t xml:space="preserve">of the </w:t>
      </w:r>
      <w:r w:rsidR="00EA6465" w:rsidRPr="00E13F47">
        <w:rPr>
          <w:rFonts w:ascii="Arial" w:eastAsia="Times New Roman" w:hAnsi="Arial" w:cs="Arial"/>
        </w:rPr>
        <w:t xml:space="preserve">1463 </w:t>
      </w:r>
      <w:r w:rsidRPr="00E13F47">
        <w:rPr>
          <w:rFonts w:ascii="Arial" w:eastAsia="Times New Roman" w:hAnsi="Arial" w:cs="Arial"/>
        </w:rPr>
        <w:t>individual allegations contained in</w:t>
      </w:r>
      <w:r w:rsidR="00EA6465" w:rsidRPr="00E13F47">
        <w:rPr>
          <w:rFonts w:ascii="Arial" w:eastAsia="Times New Roman" w:hAnsi="Arial" w:cs="Arial"/>
        </w:rPr>
        <w:t xml:space="preserve"> </w:t>
      </w:r>
      <w:r w:rsidR="008C1202" w:rsidRPr="00E13F47">
        <w:rPr>
          <w:rFonts w:ascii="Arial" w:eastAsia="Times New Roman" w:hAnsi="Arial" w:cs="Arial"/>
        </w:rPr>
        <w:t xml:space="preserve">the </w:t>
      </w:r>
      <w:r w:rsidR="00EA6465" w:rsidRPr="00E13F47">
        <w:rPr>
          <w:rFonts w:ascii="Arial" w:eastAsia="Times New Roman" w:hAnsi="Arial" w:cs="Arial"/>
        </w:rPr>
        <w:t>639 complaints</w:t>
      </w:r>
      <w:r w:rsidR="00E228AC" w:rsidRPr="00E13F47">
        <w:rPr>
          <w:rFonts w:ascii="Arial" w:eastAsia="Times New Roman" w:hAnsi="Arial" w:cs="Arial"/>
        </w:rPr>
        <w:t xml:space="preserve"> </w:t>
      </w:r>
      <w:r w:rsidR="00C546A8" w:rsidRPr="00E13F47">
        <w:rPr>
          <w:rFonts w:ascii="Arial" w:eastAsia="Times New Roman" w:hAnsi="Arial" w:cs="Arial"/>
        </w:rPr>
        <w:t>received</w:t>
      </w:r>
      <w:r w:rsidR="00E57606" w:rsidRPr="00E13F47">
        <w:rPr>
          <w:rFonts w:ascii="Arial" w:eastAsia="Times New Roman" w:hAnsi="Arial" w:cs="Arial"/>
        </w:rPr>
        <w:t xml:space="preserve"> between </w:t>
      </w:r>
      <w:r w:rsidR="00E11FD1" w:rsidRPr="00E13F47">
        <w:rPr>
          <w:rFonts w:ascii="Arial" w:eastAsia="Times New Roman" w:hAnsi="Arial" w:cs="Arial"/>
        </w:rPr>
        <w:t>January 1 and June 30, 201</w:t>
      </w:r>
      <w:r w:rsidR="00BA2D2E" w:rsidRPr="00E13F47">
        <w:rPr>
          <w:rFonts w:ascii="Arial" w:eastAsia="Times New Roman" w:hAnsi="Arial" w:cs="Arial"/>
        </w:rPr>
        <w:t>9</w:t>
      </w:r>
      <w:r w:rsidR="00A15A6D" w:rsidRPr="00E13F47">
        <w:rPr>
          <w:rFonts w:ascii="Arial" w:eastAsia="Times New Roman" w:hAnsi="Arial" w:cs="Arial"/>
        </w:rPr>
        <w:t xml:space="preserve">.  </w:t>
      </w:r>
    </w:p>
    <w:p w14:paraId="405D24A4" w14:textId="77777777" w:rsidR="008C1202" w:rsidRPr="00E13F47" w:rsidRDefault="008C1202" w:rsidP="00AE24B1">
      <w:pPr>
        <w:shd w:val="clear" w:color="auto" w:fill="FFFFFF"/>
        <w:jc w:val="both"/>
        <w:rPr>
          <w:rFonts w:ascii="Arial" w:eastAsia="Times New Roman" w:hAnsi="Arial" w:cs="Arial"/>
        </w:rPr>
      </w:pPr>
    </w:p>
    <w:p w14:paraId="62BF094E" w14:textId="3C5015B4" w:rsidR="002A4695" w:rsidRPr="00E13F47" w:rsidRDefault="00A15A6D" w:rsidP="00D36108">
      <w:pPr>
        <w:shd w:val="clear" w:color="auto" w:fill="FFFFFF"/>
        <w:jc w:val="both"/>
        <w:rPr>
          <w:rFonts w:ascii="Arial" w:eastAsia="Times New Roman" w:hAnsi="Arial" w:cs="Arial"/>
        </w:rPr>
      </w:pPr>
      <w:r w:rsidRPr="00E13F47">
        <w:rPr>
          <w:rFonts w:ascii="Arial" w:eastAsia="Times New Roman" w:hAnsi="Arial" w:cs="Arial"/>
        </w:rPr>
        <w:t xml:space="preserve">The </w:t>
      </w:r>
      <w:r w:rsidR="009C688E" w:rsidRPr="00E13F47">
        <w:rPr>
          <w:rFonts w:ascii="Arial" w:eastAsia="Times New Roman" w:hAnsi="Arial" w:cs="Arial"/>
        </w:rPr>
        <w:t>largest number</w:t>
      </w:r>
      <w:r w:rsidRPr="00E13F47">
        <w:rPr>
          <w:rFonts w:ascii="Arial" w:eastAsia="Times New Roman" w:hAnsi="Arial" w:cs="Arial"/>
        </w:rPr>
        <w:t xml:space="preserve"> of allegations</w:t>
      </w:r>
      <w:r w:rsidR="009C688E" w:rsidRPr="00E13F47">
        <w:rPr>
          <w:rFonts w:ascii="Arial" w:eastAsia="Times New Roman" w:hAnsi="Arial" w:cs="Arial"/>
        </w:rPr>
        <w:t xml:space="preserve"> (</w:t>
      </w:r>
      <w:r w:rsidR="00F7212B" w:rsidRPr="00E13F47">
        <w:rPr>
          <w:rFonts w:ascii="Arial" w:eastAsia="Times New Roman" w:hAnsi="Arial" w:cs="Arial"/>
        </w:rPr>
        <w:t xml:space="preserve">653, or </w:t>
      </w:r>
      <w:r w:rsidR="00BA2D2E" w:rsidRPr="00E13F47">
        <w:rPr>
          <w:rFonts w:ascii="Arial" w:eastAsia="Times New Roman" w:hAnsi="Arial" w:cs="Arial"/>
        </w:rPr>
        <w:t>45</w:t>
      </w:r>
      <w:r w:rsidR="00E228AC" w:rsidRPr="00E13F47">
        <w:rPr>
          <w:rFonts w:ascii="Arial" w:eastAsia="Times New Roman" w:hAnsi="Arial" w:cs="Arial"/>
        </w:rPr>
        <w:t xml:space="preserve"> percent</w:t>
      </w:r>
      <w:r w:rsidR="009C688E" w:rsidRPr="00E13F47">
        <w:rPr>
          <w:rFonts w:ascii="Arial" w:eastAsia="Times New Roman" w:hAnsi="Arial" w:cs="Arial"/>
        </w:rPr>
        <w:t>)</w:t>
      </w:r>
      <w:r w:rsidR="00E228AC" w:rsidRPr="00E13F47">
        <w:rPr>
          <w:rFonts w:ascii="Arial" w:eastAsia="Times New Roman" w:hAnsi="Arial" w:cs="Arial"/>
        </w:rPr>
        <w:t xml:space="preserve"> </w:t>
      </w:r>
      <w:r w:rsidR="00E21444" w:rsidRPr="00E13F47">
        <w:rPr>
          <w:rFonts w:ascii="Arial" w:eastAsia="Times New Roman" w:hAnsi="Arial" w:cs="Arial"/>
        </w:rPr>
        <w:t>are categorized as</w:t>
      </w:r>
      <w:r w:rsidR="00DA7AD9" w:rsidRPr="00E13F47">
        <w:rPr>
          <w:rFonts w:ascii="Arial" w:eastAsia="Times New Roman" w:hAnsi="Arial" w:cs="Arial"/>
        </w:rPr>
        <w:t xml:space="preserve"> </w:t>
      </w:r>
      <w:r w:rsidR="00EB5D5E" w:rsidRPr="00E13F47">
        <w:rPr>
          <w:rFonts w:ascii="Arial" w:eastAsia="Times New Roman" w:hAnsi="Arial" w:cs="Arial"/>
        </w:rPr>
        <w:t>“</w:t>
      </w:r>
      <w:r w:rsidR="002A4695" w:rsidRPr="00E13F47">
        <w:rPr>
          <w:rFonts w:ascii="Arial" w:eastAsia="Times New Roman" w:hAnsi="Arial" w:cs="Arial"/>
        </w:rPr>
        <w:t>Other</w:t>
      </w:r>
      <w:r w:rsidR="00EB5D5E" w:rsidRPr="00E13F47">
        <w:rPr>
          <w:rFonts w:ascii="Arial" w:eastAsia="Times New Roman" w:hAnsi="Arial" w:cs="Arial"/>
        </w:rPr>
        <w:t>”</w:t>
      </w:r>
      <w:r w:rsidR="002A4695" w:rsidRPr="00E13F47">
        <w:rPr>
          <w:rFonts w:ascii="Arial" w:eastAsia="Times New Roman" w:hAnsi="Arial" w:cs="Arial"/>
        </w:rPr>
        <w:t xml:space="preserve">, which includes </w:t>
      </w:r>
      <w:r w:rsidR="00ED42D1" w:rsidRPr="00E13F47">
        <w:rPr>
          <w:rFonts w:ascii="Arial" w:eastAsia="Times New Roman" w:hAnsi="Arial" w:cs="Arial"/>
        </w:rPr>
        <w:t>d</w:t>
      </w:r>
      <w:r w:rsidR="002A4695" w:rsidRPr="00E13F47">
        <w:rPr>
          <w:rFonts w:ascii="Arial" w:eastAsia="Times New Roman" w:hAnsi="Arial" w:cs="Arial"/>
        </w:rPr>
        <w:t xml:space="preserve">uplicate </w:t>
      </w:r>
      <w:r w:rsidR="00DA3A5D" w:rsidRPr="00E13F47">
        <w:rPr>
          <w:rFonts w:ascii="Arial" w:eastAsia="Times New Roman" w:hAnsi="Arial" w:cs="Arial"/>
        </w:rPr>
        <w:t xml:space="preserve">complaints </w:t>
      </w:r>
      <w:r w:rsidR="002A4695" w:rsidRPr="00E13F47">
        <w:rPr>
          <w:rFonts w:ascii="Arial" w:eastAsia="Times New Roman" w:hAnsi="Arial" w:cs="Arial"/>
        </w:rPr>
        <w:t xml:space="preserve">and </w:t>
      </w:r>
      <w:r w:rsidR="00ED42D1" w:rsidRPr="00E13F47">
        <w:rPr>
          <w:rFonts w:ascii="Arial" w:eastAsia="Times New Roman" w:hAnsi="Arial" w:cs="Arial"/>
        </w:rPr>
        <w:t>s</w:t>
      </w:r>
      <w:r w:rsidR="002A4695" w:rsidRPr="00E13F47">
        <w:rPr>
          <w:rFonts w:ascii="Arial" w:eastAsia="Times New Roman" w:hAnsi="Arial" w:cs="Arial"/>
        </w:rPr>
        <w:t xml:space="preserve">ervice complaints. </w:t>
      </w:r>
      <w:r w:rsidR="001F14E8" w:rsidRPr="00E13F47">
        <w:rPr>
          <w:rFonts w:ascii="Arial" w:eastAsia="Times New Roman" w:hAnsi="Arial" w:cs="Arial"/>
        </w:rPr>
        <w:t xml:space="preserve">Duplicate complaints are the same complaint </w:t>
      </w:r>
      <w:r w:rsidR="0086533F" w:rsidRPr="00E13F47">
        <w:rPr>
          <w:rFonts w:ascii="Arial" w:eastAsia="Times New Roman" w:hAnsi="Arial" w:cs="Arial"/>
        </w:rPr>
        <w:t xml:space="preserve">against the same employee </w:t>
      </w:r>
      <w:r w:rsidR="001F14E8" w:rsidRPr="00E13F47">
        <w:rPr>
          <w:rFonts w:ascii="Arial" w:eastAsia="Times New Roman" w:hAnsi="Arial" w:cs="Arial"/>
        </w:rPr>
        <w:t xml:space="preserve">received more than once. </w:t>
      </w:r>
      <w:r w:rsidR="002A4695" w:rsidRPr="00E13F47">
        <w:rPr>
          <w:rFonts w:ascii="Arial" w:eastAsia="Times New Roman" w:hAnsi="Arial" w:cs="Arial"/>
        </w:rPr>
        <w:t>Service complaints d</w:t>
      </w:r>
      <w:r w:rsidR="00EB5D5E" w:rsidRPr="00E13F47">
        <w:rPr>
          <w:rFonts w:ascii="Arial" w:eastAsia="Times New Roman" w:hAnsi="Arial" w:cs="Arial"/>
        </w:rPr>
        <w:t>o</w:t>
      </w:r>
      <w:r w:rsidR="002A4695" w:rsidRPr="00E13F47">
        <w:rPr>
          <w:rFonts w:ascii="Arial" w:eastAsia="Times New Roman" w:hAnsi="Arial" w:cs="Arial"/>
        </w:rPr>
        <w:t xml:space="preserve"> not involve allegations of misconduct against specific employees, but instead pertain t</w:t>
      </w:r>
      <w:r w:rsidR="00816861" w:rsidRPr="00E13F47">
        <w:rPr>
          <w:rFonts w:ascii="Arial" w:eastAsia="Times New Roman" w:hAnsi="Arial" w:cs="Arial"/>
        </w:rPr>
        <w:t>o</w:t>
      </w:r>
      <w:r w:rsidR="009B5179" w:rsidRPr="00E13F47">
        <w:rPr>
          <w:rFonts w:ascii="Arial" w:eastAsia="Times New Roman" w:hAnsi="Arial" w:cs="Arial"/>
        </w:rPr>
        <w:t xml:space="preserve"> </w:t>
      </w:r>
      <w:r w:rsidR="00F4693E" w:rsidRPr="00E13F47">
        <w:rPr>
          <w:rFonts w:ascii="Arial" w:eastAsia="Times New Roman" w:hAnsi="Arial" w:cs="Arial"/>
        </w:rPr>
        <w:t xml:space="preserve">concern or dissatisfaction with </w:t>
      </w:r>
      <w:r w:rsidR="009B5179" w:rsidRPr="00E13F47">
        <w:rPr>
          <w:rFonts w:ascii="Arial" w:eastAsia="Times New Roman" w:hAnsi="Arial" w:cs="Arial"/>
        </w:rPr>
        <w:t>police</w:t>
      </w:r>
      <w:r w:rsidR="002A4695" w:rsidRPr="00E13F47">
        <w:rPr>
          <w:rFonts w:ascii="Arial" w:eastAsia="Times New Roman" w:hAnsi="Arial" w:cs="Arial"/>
        </w:rPr>
        <w:t xml:space="preserve"> practice</w:t>
      </w:r>
      <w:r w:rsidR="009B5179" w:rsidRPr="00E13F47">
        <w:rPr>
          <w:rFonts w:ascii="Arial" w:eastAsia="Times New Roman" w:hAnsi="Arial" w:cs="Arial"/>
        </w:rPr>
        <w:t>s that do not involve misconduct.  For example</w:t>
      </w:r>
      <w:r w:rsidR="005E7CB4" w:rsidRPr="00E13F47">
        <w:rPr>
          <w:rFonts w:ascii="Arial" w:eastAsia="Times New Roman" w:hAnsi="Arial" w:cs="Arial"/>
        </w:rPr>
        <w:t>,</w:t>
      </w:r>
      <w:r w:rsidR="009B5179" w:rsidRPr="00E13F47">
        <w:rPr>
          <w:rFonts w:ascii="Arial" w:eastAsia="Times New Roman" w:hAnsi="Arial" w:cs="Arial"/>
        </w:rPr>
        <w:t xml:space="preserve"> a </w:t>
      </w:r>
      <w:r w:rsidR="00D16A59" w:rsidRPr="00E13F47">
        <w:rPr>
          <w:rFonts w:ascii="Arial" w:eastAsia="Times New Roman" w:hAnsi="Arial" w:cs="Arial"/>
        </w:rPr>
        <w:t xml:space="preserve">complaint about a </w:t>
      </w:r>
      <w:r w:rsidR="009B5179" w:rsidRPr="00E13F47">
        <w:rPr>
          <w:rFonts w:ascii="Arial" w:eastAsia="Times New Roman" w:hAnsi="Arial" w:cs="Arial"/>
        </w:rPr>
        <w:t>police action</w:t>
      </w:r>
      <w:r w:rsidR="002A4695" w:rsidRPr="00E13F47">
        <w:rPr>
          <w:rFonts w:ascii="Arial" w:eastAsia="Times New Roman" w:hAnsi="Arial" w:cs="Arial"/>
        </w:rPr>
        <w:t xml:space="preserve"> mandated by policy or law or</w:t>
      </w:r>
      <w:r w:rsidR="00AC737A" w:rsidRPr="00E13F47">
        <w:rPr>
          <w:rFonts w:ascii="Arial" w:eastAsia="Times New Roman" w:hAnsi="Arial" w:cs="Arial"/>
        </w:rPr>
        <w:t xml:space="preserve"> delay in </w:t>
      </w:r>
      <w:r w:rsidR="00EB5D5E" w:rsidRPr="00E13F47">
        <w:rPr>
          <w:rFonts w:ascii="Arial" w:eastAsia="Times New Roman" w:hAnsi="Arial" w:cs="Arial"/>
        </w:rPr>
        <w:t xml:space="preserve">response to a call for </w:t>
      </w:r>
      <w:r w:rsidR="00AC737A" w:rsidRPr="00E13F47">
        <w:rPr>
          <w:rFonts w:ascii="Arial" w:eastAsia="Times New Roman" w:hAnsi="Arial" w:cs="Arial"/>
        </w:rPr>
        <w:t>service</w:t>
      </w:r>
      <w:r w:rsidR="004F2102" w:rsidRPr="00E13F47">
        <w:rPr>
          <w:rFonts w:ascii="Arial" w:eastAsia="Times New Roman" w:hAnsi="Arial" w:cs="Arial"/>
        </w:rPr>
        <w:t xml:space="preserve"> would be a service complaint.</w:t>
      </w:r>
    </w:p>
    <w:p w14:paraId="55D4DC70" w14:textId="77777777" w:rsidR="002A4695" w:rsidRPr="00E13F47" w:rsidRDefault="002A4695" w:rsidP="00D36108">
      <w:pPr>
        <w:shd w:val="clear" w:color="auto" w:fill="FFFFFF"/>
        <w:jc w:val="both"/>
        <w:rPr>
          <w:rFonts w:ascii="Arial" w:eastAsia="Times New Roman" w:hAnsi="Arial" w:cs="Arial"/>
        </w:rPr>
      </w:pPr>
    </w:p>
    <w:p w14:paraId="62198C21" w14:textId="724510F8" w:rsidR="00DA7AD9" w:rsidRPr="00E13F47" w:rsidRDefault="000F02DD" w:rsidP="00D36108">
      <w:pPr>
        <w:shd w:val="clear" w:color="auto" w:fill="FFFFFF"/>
        <w:jc w:val="both"/>
        <w:rPr>
          <w:rFonts w:ascii="Arial" w:eastAsia="Times New Roman" w:hAnsi="Arial" w:cs="Arial"/>
        </w:rPr>
      </w:pPr>
      <w:r w:rsidRPr="00E13F47">
        <w:rPr>
          <w:rFonts w:ascii="Arial" w:eastAsia="Times New Roman" w:hAnsi="Arial" w:cs="Arial"/>
        </w:rPr>
        <w:t>“</w:t>
      </w:r>
      <w:r w:rsidR="007C2C6A" w:rsidRPr="00E13F47">
        <w:rPr>
          <w:rFonts w:ascii="Arial" w:eastAsia="Times New Roman" w:hAnsi="Arial" w:cs="Arial"/>
        </w:rPr>
        <w:t>Performance of Duty</w:t>
      </w:r>
      <w:r w:rsidRPr="00E13F47">
        <w:rPr>
          <w:rFonts w:ascii="Arial" w:eastAsia="Times New Roman" w:hAnsi="Arial" w:cs="Arial"/>
        </w:rPr>
        <w:t>”</w:t>
      </w:r>
      <w:r w:rsidR="007C2C6A" w:rsidRPr="00E13F47">
        <w:rPr>
          <w:rFonts w:ascii="Arial" w:eastAsia="Times New Roman" w:hAnsi="Arial" w:cs="Arial"/>
        </w:rPr>
        <w:t xml:space="preserve"> was the second most common type of complaint, with </w:t>
      </w:r>
      <w:r w:rsidR="001D2AC8" w:rsidRPr="00E13F47">
        <w:rPr>
          <w:rFonts w:ascii="Arial" w:eastAsia="Times New Roman" w:hAnsi="Arial" w:cs="Arial"/>
        </w:rPr>
        <w:t>3</w:t>
      </w:r>
      <w:r w:rsidR="00BA2D2E" w:rsidRPr="00E13F47">
        <w:rPr>
          <w:rFonts w:ascii="Arial" w:eastAsia="Times New Roman" w:hAnsi="Arial" w:cs="Arial"/>
        </w:rPr>
        <w:t>1</w:t>
      </w:r>
      <w:r w:rsidR="001D2AC8" w:rsidRPr="00E13F47">
        <w:rPr>
          <w:rFonts w:ascii="Arial" w:eastAsia="Times New Roman" w:hAnsi="Arial" w:cs="Arial"/>
        </w:rPr>
        <w:t xml:space="preserve"> percent of </w:t>
      </w:r>
      <w:r w:rsidR="00201124" w:rsidRPr="00E13F47">
        <w:rPr>
          <w:rFonts w:ascii="Arial" w:eastAsia="Times New Roman" w:hAnsi="Arial" w:cs="Arial"/>
        </w:rPr>
        <w:t xml:space="preserve">the total </w:t>
      </w:r>
      <w:r w:rsidR="001D2AC8" w:rsidRPr="00E13F47">
        <w:rPr>
          <w:rFonts w:ascii="Arial" w:eastAsia="Times New Roman" w:hAnsi="Arial" w:cs="Arial"/>
        </w:rPr>
        <w:t>all complaints</w:t>
      </w:r>
      <w:r w:rsidR="00ED003E" w:rsidRPr="00E13F47">
        <w:rPr>
          <w:rFonts w:ascii="Arial" w:eastAsia="Times New Roman" w:hAnsi="Arial" w:cs="Arial"/>
        </w:rPr>
        <w:t>, and 55</w:t>
      </w:r>
      <w:r w:rsidR="003D431C" w:rsidRPr="00E13F47">
        <w:rPr>
          <w:rFonts w:ascii="Arial" w:eastAsia="Times New Roman" w:hAnsi="Arial" w:cs="Arial"/>
        </w:rPr>
        <w:t>.5 percent</w:t>
      </w:r>
      <w:r w:rsidR="00ED003E" w:rsidRPr="00E13F47">
        <w:rPr>
          <w:rFonts w:ascii="Arial" w:eastAsia="Times New Roman" w:hAnsi="Arial" w:cs="Arial"/>
        </w:rPr>
        <w:t xml:space="preserve"> of the </w:t>
      </w:r>
      <w:r w:rsidR="00E6035E" w:rsidRPr="00E13F47">
        <w:rPr>
          <w:rFonts w:ascii="Arial" w:eastAsia="Times New Roman" w:hAnsi="Arial" w:cs="Arial"/>
        </w:rPr>
        <w:t xml:space="preserve">complaints against </w:t>
      </w:r>
      <w:r w:rsidR="003D431C" w:rsidRPr="00E13F47">
        <w:rPr>
          <w:rFonts w:ascii="Arial" w:eastAsia="Times New Roman" w:hAnsi="Arial" w:cs="Arial"/>
        </w:rPr>
        <w:t xml:space="preserve">specific </w:t>
      </w:r>
      <w:r w:rsidR="00E6035E" w:rsidRPr="00E13F47">
        <w:rPr>
          <w:rFonts w:ascii="Arial" w:eastAsia="Times New Roman" w:hAnsi="Arial" w:cs="Arial"/>
        </w:rPr>
        <w:t>employees</w:t>
      </w:r>
      <w:r w:rsidR="00C25FCA" w:rsidRPr="00E13F47">
        <w:rPr>
          <w:rFonts w:ascii="Arial" w:eastAsia="Times New Roman" w:hAnsi="Arial" w:cs="Arial"/>
        </w:rPr>
        <w:t xml:space="preserve"> </w:t>
      </w:r>
      <w:r w:rsidR="001D2AC8" w:rsidRPr="00E13F47">
        <w:rPr>
          <w:rFonts w:ascii="Arial" w:eastAsia="Times New Roman" w:hAnsi="Arial" w:cs="Arial"/>
        </w:rPr>
        <w:t xml:space="preserve">falling into this category. </w:t>
      </w:r>
      <w:r w:rsidR="005D2448" w:rsidRPr="00E13F47">
        <w:rPr>
          <w:rFonts w:ascii="Arial" w:eastAsia="Times New Roman" w:hAnsi="Arial" w:cs="Arial"/>
        </w:rPr>
        <w:t>A</w:t>
      </w:r>
      <w:r w:rsidR="007D7D5C" w:rsidRPr="00E13F47">
        <w:rPr>
          <w:rFonts w:ascii="Arial" w:eastAsia="Times New Roman" w:hAnsi="Arial" w:cs="Arial"/>
        </w:rPr>
        <w:t xml:space="preserve">n allegation </w:t>
      </w:r>
      <w:r w:rsidR="005D2448" w:rsidRPr="00E13F47">
        <w:rPr>
          <w:rFonts w:ascii="Arial" w:eastAsia="Times New Roman" w:hAnsi="Arial" w:cs="Arial"/>
        </w:rPr>
        <w:t>of “</w:t>
      </w:r>
      <w:r w:rsidR="00DA7AD9" w:rsidRPr="00E13F47">
        <w:rPr>
          <w:rFonts w:ascii="Arial" w:eastAsia="Times New Roman" w:hAnsi="Arial" w:cs="Arial"/>
        </w:rPr>
        <w:t>Performance of Duty</w:t>
      </w:r>
      <w:r w:rsidR="005D2448" w:rsidRPr="00E13F47">
        <w:rPr>
          <w:rFonts w:ascii="Arial" w:eastAsia="Times New Roman" w:hAnsi="Arial" w:cs="Arial"/>
        </w:rPr>
        <w:t xml:space="preserve">” </w:t>
      </w:r>
      <w:r w:rsidR="009D09E4" w:rsidRPr="00E13F47">
        <w:rPr>
          <w:rFonts w:ascii="Arial" w:eastAsia="Times New Roman" w:hAnsi="Arial" w:cs="Arial"/>
        </w:rPr>
        <w:t xml:space="preserve">occurs when </w:t>
      </w:r>
      <w:r w:rsidR="00500B26" w:rsidRPr="00E13F47">
        <w:rPr>
          <w:rFonts w:ascii="Arial" w:eastAsia="Times New Roman" w:hAnsi="Arial" w:cs="Arial"/>
        </w:rPr>
        <w:t xml:space="preserve">it is alleged that </w:t>
      </w:r>
      <w:r w:rsidR="009D09E4" w:rsidRPr="00E13F47">
        <w:rPr>
          <w:rFonts w:ascii="Arial" w:eastAsia="Times New Roman" w:hAnsi="Arial" w:cs="Arial"/>
        </w:rPr>
        <w:t xml:space="preserve">an </w:t>
      </w:r>
      <w:r w:rsidR="00BC2B27" w:rsidRPr="00E13F47">
        <w:rPr>
          <w:rFonts w:ascii="Arial" w:eastAsia="Times New Roman" w:hAnsi="Arial" w:cs="Arial"/>
        </w:rPr>
        <w:t>employee did</w:t>
      </w:r>
      <w:r w:rsidR="00500B26" w:rsidRPr="00E13F47">
        <w:rPr>
          <w:rFonts w:ascii="Arial" w:eastAsia="Times New Roman" w:hAnsi="Arial" w:cs="Arial"/>
        </w:rPr>
        <w:t xml:space="preserve"> not </w:t>
      </w:r>
      <w:r w:rsidR="00DA7AD9" w:rsidRPr="00E13F47">
        <w:rPr>
          <w:rFonts w:ascii="Arial" w:hAnsi="Arial" w:cs="Arial"/>
        </w:rPr>
        <w:t>perform his or her</w:t>
      </w:r>
      <w:r w:rsidR="00DA7AD9" w:rsidRPr="00E13F47">
        <w:rPr>
          <w:rFonts w:ascii="Arial" w:eastAsia="Times New Roman" w:hAnsi="Arial" w:cs="Arial"/>
        </w:rPr>
        <w:t xml:space="preserve"> assigned duties and responsibilities as required or directed by law or departmental rule. Violations of performance of duty include the following:</w:t>
      </w:r>
    </w:p>
    <w:p w14:paraId="6B0AE35E" w14:textId="77777777" w:rsidR="00DA7AD9" w:rsidRPr="00E13F47" w:rsidRDefault="00DA7AD9" w:rsidP="00D36108">
      <w:pPr>
        <w:pStyle w:val="ListParagraph"/>
        <w:numPr>
          <w:ilvl w:val="0"/>
          <w:numId w:val="4"/>
        </w:numPr>
        <w:shd w:val="clear" w:color="auto" w:fill="FFFFFF"/>
        <w:jc w:val="both"/>
        <w:rPr>
          <w:rFonts w:ascii="Arial" w:eastAsia="Times New Roman" w:hAnsi="Arial" w:cs="Arial"/>
        </w:rPr>
      </w:pPr>
      <w:r w:rsidRPr="00E13F47">
        <w:rPr>
          <w:rFonts w:ascii="Arial" w:eastAsia="Times New Roman" w:hAnsi="Arial" w:cs="Arial"/>
        </w:rPr>
        <w:t>Intentional illegal search, seizure, or arrest;</w:t>
      </w:r>
    </w:p>
    <w:p w14:paraId="1BC175C0" w14:textId="77777777" w:rsidR="00DA7AD9" w:rsidRPr="00E13F47" w:rsidRDefault="00DA7AD9" w:rsidP="00D36108">
      <w:pPr>
        <w:pStyle w:val="ListParagraph"/>
        <w:numPr>
          <w:ilvl w:val="0"/>
          <w:numId w:val="4"/>
        </w:numPr>
        <w:shd w:val="clear" w:color="auto" w:fill="FFFFFF"/>
        <w:jc w:val="both"/>
        <w:rPr>
          <w:rFonts w:ascii="Arial" w:eastAsia="Times New Roman" w:hAnsi="Arial" w:cs="Arial"/>
        </w:rPr>
      </w:pPr>
      <w:r w:rsidRPr="00E13F47">
        <w:rPr>
          <w:rFonts w:ascii="Arial" w:eastAsia="Times New Roman" w:hAnsi="Arial" w:cs="Arial"/>
        </w:rPr>
        <w:t>Unintentional or improper search, seizure, or arrest;</w:t>
      </w:r>
    </w:p>
    <w:p w14:paraId="67CF101A" w14:textId="77777777" w:rsidR="00DA7AD9" w:rsidRPr="00E13F47" w:rsidRDefault="00DA7AD9" w:rsidP="00D36108">
      <w:pPr>
        <w:pStyle w:val="ListParagraph"/>
        <w:numPr>
          <w:ilvl w:val="0"/>
          <w:numId w:val="4"/>
        </w:numPr>
        <w:shd w:val="clear" w:color="auto" w:fill="FFFFFF"/>
        <w:jc w:val="both"/>
        <w:rPr>
          <w:rFonts w:ascii="Arial" w:eastAsia="Times New Roman" w:hAnsi="Arial" w:cs="Arial"/>
        </w:rPr>
      </w:pPr>
      <w:r w:rsidRPr="00E13F47">
        <w:rPr>
          <w:rFonts w:ascii="Arial" w:eastAsia="Times New Roman" w:hAnsi="Arial" w:cs="Arial"/>
        </w:rPr>
        <w:t>Failure to perform duties as required or directed by law, Departmental rule, policy, or order;</w:t>
      </w:r>
    </w:p>
    <w:p w14:paraId="0DA9AEFB" w14:textId="77777777" w:rsidR="00DA7AD9" w:rsidRPr="00E13F47" w:rsidRDefault="00DA7AD9" w:rsidP="00D36108">
      <w:pPr>
        <w:pStyle w:val="ListParagraph"/>
        <w:numPr>
          <w:ilvl w:val="0"/>
          <w:numId w:val="4"/>
        </w:numPr>
        <w:shd w:val="clear" w:color="auto" w:fill="FFFFFF"/>
        <w:jc w:val="both"/>
        <w:rPr>
          <w:rFonts w:ascii="Arial" w:eastAsia="Times New Roman" w:hAnsi="Arial" w:cs="Arial"/>
        </w:rPr>
      </w:pPr>
      <w:r w:rsidRPr="00E13F47">
        <w:rPr>
          <w:rFonts w:ascii="Arial" w:eastAsia="Times New Roman" w:hAnsi="Arial" w:cs="Arial"/>
        </w:rPr>
        <w:t>Improper care of the property of persons; and</w:t>
      </w:r>
    </w:p>
    <w:p w14:paraId="41AA9E7D" w14:textId="1E97598B" w:rsidR="00DA7AD9" w:rsidRPr="00E13F47" w:rsidRDefault="00DA7AD9" w:rsidP="00AE24B1">
      <w:pPr>
        <w:pStyle w:val="ListParagraph"/>
        <w:numPr>
          <w:ilvl w:val="0"/>
          <w:numId w:val="4"/>
        </w:numPr>
        <w:shd w:val="clear" w:color="auto" w:fill="FFFFFF"/>
        <w:jc w:val="both"/>
        <w:rPr>
          <w:rFonts w:ascii="Arial" w:eastAsia="Times New Roman" w:hAnsi="Arial" w:cs="Arial"/>
        </w:rPr>
      </w:pPr>
      <w:r w:rsidRPr="00E13F47">
        <w:rPr>
          <w:rFonts w:ascii="Arial" w:eastAsia="Times New Roman" w:hAnsi="Arial" w:cs="Arial"/>
        </w:rPr>
        <w:t xml:space="preserve">Changing a work assignment without </w:t>
      </w:r>
      <w:r w:rsidR="00CE65D5" w:rsidRPr="00E13F47">
        <w:rPr>
          <w:rFonts w:ascii="Arial" w:eastAsia="Times New Roman" w:hAnsi="Arial" w:cs="Arial"/>
        </w:rPr>
        <w:t xml:space="preserve">supervisory </w:t>
      </w:r>
      <w:r w:rsidRPr="00E13F47">
        <w:rPr>
          <w:rFonts w:ascii="Arial" w:eastAsia="Times New Roman" w:hAnsi="Arial" w:cs="Arial"/>
        </w:rPr>
        <w:t>authority.</w:t>
      </w:r>
    </w:p>
    <w:p w14:paraId="2F52E8E3" w14:textId="49B5451F" w:rsidR="00500B26" w:rsidRPr="00E13F47" w:rsidRDefault="00500B26" w:rsidP="00500B26">
      <w:pPr>
        <w:shd w:val="clear" w:color="auto" w:fill="FFFFFF"/>
        <w:jc w:val="both"/>
        <w:rPr>
          <w:rFonts w:ascii="Arial" w:eastAsia="Times New Roman" w:hAnsi="Arial" w:cs="Arial"/>
        </w:rPr>
      </w:pPr>
    </w:p>
    <w:p w14:paraId="4A298B9B" w14:textId="53A9B98A" w:rsidR="00500B26" w:rsidRPr="00E13F47" w:rsidRDefault="0093405E" w:rsidP="00500B26">
      <w:pPr>
        <w:shd w:val="clear" w:color="auto" w:fill="FFFFFF"/>
        <w:jc w:val="both"/>
        <w:rPr>
          <w:rFonts w:ascii="Arial" w:eastAsia="Times New Roman" w:hAnsi="Arial" w:cs="Arial"/>
        </w:rPr>
      </w:pPr>
      <w:r w:rsidRPr="00E13F47">
        <w:rPr>
          <w:rFonts w:ascii="Arial" w:eastAsia="Times New Roman" w:hAnsi="Arial" w:cs="Arial"/>
        </w:rPr>
        <w:t>Use of Force (173</w:t>
      </w:r>
      <w:r w:rsidR="006E5276" w:rsidRPr="00E13F47">
        <w:rPr>
          <w:rFonts w:ascii="Arial" w:eastAsia="Times New Roman" w:hAnsi="Arial" w:cs="Arial"/>
        </w:rPr>
        <w:t xml:space="preserve">, or </w:t>
      </w:r>
      <w:r w:rsidR="00E01B9C" w:rsidRPr="00E13F47">
        <w:rPr>
          <w:rFonts w:ascii="Arial" w:eastAsia="Times New Roman" w:hAnsi="Arial" w:cs="Arial"/>
        </w:rPr>
        <w:t>21</w:t>
      </w:r>
      <w:r w:rsidR="009A6F03" w:rsidRPr="00E13F47">
        <w:rPr>
          <w:rFonts w:ascii="Arial" w:eastAsia="Times New Roman" w:hAnsi="Arial" w:cs="Arial"/>
        </w:rPr>
        <w:t xml:space="preserve"> </w:t>
      </w:r>
      <w:r w:rsidR="006E5276" w:rsidRPr="00E13F47">
        <w:rPr>
          <w:rFonts w:ascii="Arial" w:eastAsia="Times New Roman" w:hAnsi="Arial" w:cs="Arial"/>
        </w:rPr>
        <w:t xml:space="preserve">percent) </w:t>
      </w:r>
      <w:r w:rsidRPr="00E13F47">
        <w:rPr>
          <w:rFonts w:ascii="Arial" w:eastAsia="Times New Roman" w:hAnsi="Arial" w:cs="Arial"/>
        </w:rPr>
        <w:t xml:space="preserve">and </w:t>
      </w:r>
      <w:r w:rsidR="006E5276" w:rsidRPr="00E13F47">
        <w:rPr>
          <w:rFonts w:ascii="Arial" w:eastAsia="Times New Roman" w:hAnsi="Arial" w:cs="Arial"/>
        </w:rPr>
        <w:t xml:space="preserve">Conduct Toward Others (139, or </w:t>
      </w:r>
      <w:r w:rsidR="00A54260" w:rsidRPr="00E13F47">
        <w:rPr>
          <w:rFonts w:ascii="Arial" w:eastAsia="Times New Roman" w:hAnsi="Arial" w:cs="Arial"/>
        </w:rPr>
        <w:t>17</w:t>
      </w:r>
      <w:r w:rsidR="00F16F4D" w:rsidRPr="00E13F47">
        <w:rPr>
          <w:rFonts w:ascii="Arial" w:eastAsia="Times New Roman" w:hAnsi="Arial" w:cs="Arial"/>
        </w:rPr>
        <w:t xml:space="preserve"> </w:t>
      </w:r>
      <w:r w:rsidR="006E5276" w:rsidRPr="00E13F47">
        <w:rPr>
          <w:rFonts w:ascii="Arial" w:eastAsia="Times New Roman" w:hAnsi="Arial" w:cs="Arial"/>
        </w:rPr>
        <w:t>percent) are the two next largest categories of complaints</w:t>
      </w:r>
      <w:r w:rsidR="00CF7A32" w:rsidRPr="00E13F47">
        <w:rPr>
          <w:rFonts w:ascii="Arial" w:eastAsia="Times New Roman" w:hAnsi="Arial" w:cs="Arial"/>
        </w:rPr>
        <w:t xml:space="preserve"> against specific employees</w:t>
      </w:r>
      <w:r w:rsidR="00E01B9C" w:rsidRPr="00E13F47">
        <w:rPr>
          <w:rFonts w:ascii="Arial" w:eastAsia="Times New Roman" w:hAnsi="Arial" w:cs="Arial"/>
        </w:rPr>
        <w:t>.</w:t>
      </w:r>
      <w:r w:rsidR="006E5276" w:rsidRPr="00E13F47">
        <w:rPr>
          <w:rFonts w:ascii="Arial" w:eastAsia="Times New Roman" w:hAnsi="Arial" w:cs="Arial"/>
        </w:rPr>
        <w:t xml:space="preserve">  </w:t>
      </w:r>
    </w:p>
    <w:p w14:paraId="38B39D0D" w14:textId="5D9CDC61" w:rsidR="00F06D93" w:rsidRPr="00E13F47" w:rsidRDefault="00F06D93" w:rsidP="00500B26">
      <w:pPr>
        <w:shd w:val="clear" w:color="auto" w:fill="FFFFFF"/>
        <w:jc w:val="both"/>
        <w:rPr>
          <w:rFonts w:ascii="Arial" w:eastAsia="Times New Roman" w:hAnsi="Arial" w:cs="Arial"/>
        </w:rPr>
      </w:pPr>
    </w:p>
    <w:p w14:paraId="1625C504" w14:textId="03F70778" w:rsidR="00964CDB" w:rsidRPr="00E13F47" w:rsidRDefault="008873D6" w:rsidP="008D5DF8">
      <w:pPr>
        <w:spacing w:after="200" w:line="276" w:lineRule="auto"/>
        <w:rPr>
          <w:rFonts w:ascii="Arial" w:eastAsia="Times New Roman" w:hAnsi="Arial" w:cs="Arial"/>
          <w:b/>
          <w:noProof/>
          <w:u w:val="single"/>
        </w:rPr>
      </w:pPr>
      <w:r w:rsidRPr="00E13F47">
        <w:rPr>
          <w:rFonts w:ascii="Arial" w:eastAsia="Times New Roman" w:hAnsi="Arial" w:cs="Arial"/>
          <w:b/>
          <w:noProof/>
          <w:u w:val="single"/>
        </w:rPr>
        <w:t xml:space="preserve">Disposition of Individual </w:t>
      </w:r>
      <w:r w:rsidR="000D32D0">
        <w:rPr>
          <w:rFonts w:ascii="Arial" w:eastAsia="Times New Roman" w:hAnsi="Arial" w:cs="Arial"/>
          <w:b/>
          <w:noProof/>
          <w:u w:val="single"/>
        </w:rPr>
        <w:t xml:space="preserve">Complaint </w:t>
      </w:r>
      <w:r w:rsidRPr="00E13F47">
        <w:rPr>
          <w:rFonts w:ascii="Arial" w:eastAsia="Times New Roman" w:hAnsi="Arial" w:cs="Arial"/>
          <w:b/>
          <w:noProof/>
          <w:u w:val="single"/>
        </w:rPr>
        <w:t>Allegations</w:t>
      </w:r>
      <w:r w:rsidR="00964CDB" w:rsidRPr="00E13F47">
        <w:rPr>
          <w:rFonts w:ascii="Arial" w:eastAsia="Times New Roman" w:hAnsi="Arial" w:cs="Arial"/>
          <w:b/>
          <w:noProof/>
          <w:u w:val="single"/>
        </w:rPr>
        <w:t xml:space="preserve"> January 2012 to </w:t>
      </w:r>
      <w:r w:rsidR="00673F76" w:rsidRPr="00E13F47">
        <w:rPr>
          <w:rFonts w:ascii="Arial" w:eastAsia="Times New Roman" w:hAnsi="Arial" w:cs="Arial"/>
          <w:b/>
          <w:noProof/>
          <w:u w:val="single"/>
        </w:rPr>
        <w:t>June 201</w:t>
      </w:r>
      <w:r w:rsidR="000407A0" w:rsidRPr="00E13F47">
        <w:rPr>
          <w:rFonts w:ascii="Arial" w:eastAsia="Times New Roman" w:hAnsi="Arial" w:cs="Arial"/>
          <w:b/>
          <w:noProof/>
          <w:u w:val="single"/>
        </w:rPr>
        <w:t>9</w:t>
      </w:r>
    </w:p>
    <w:p w14:paraId="59BC01F3" w14:textId="777D8EF2" w:rsidR="00324FBD" w:rsidRDefault="00664087" w:rsidP="00D36108">
      <w:pPr>
        <w:shd w:val="clear" w:color="auto" w:fill="FFFFFF"/>
        <w:jc w:val="both"/>
        <w:rPr>
          <w:rFonts w:ascii="Arial" w:eastAsia="Times New Roman" w:hAnsi="Arial" w:cs="Arial"/>
        </w:rPr>
      </w:pPr>
      <w:r w:rsidRPr="00E13F47">
        <w:rPr>
          <w:rFonts w:ascii="Arial" w:eastAsia="Times New Roman" w:hAnsi="Arial" w:cs="Arial"/>
        </w:rPr>
        <w:t xml:space="preserve">Between </w:t>
      </w:r>
      <w:r w:rsidR="004420AC" w:rsidRPr="00E13F47">
        <w:rPr>
          <w:rFonts w:ascii="Arial" w:eastAsia="Times New Roman" w:hAnsi="Arial" w:cs="Arial"/>
        </w:rPr>
        <w:t>January 1 and June 30, 201</w:t>
      </w:r>
      <w:r w:rsidR="000407A0" w:rsidRPr="00E13F47">
        <w:rPr>
          <w:rFonts w:ascii="Arial" w:eastAsia="Times New Roman" w:hAnsi="Arial" w:cs="Arial"/>
        </w:rPr>
        <w:t>9</w:t>
      </w:r>
      <w:r w:rsidRPr="00E13F47">
        <w:rPr>
          <w:rFonts w:ascii="Arial" w:eastAsia="Times New Roman" w:hAnsi="Arial" w:cs="Arial"/>
        </w:rPr>
        <w:t xml:space="preserve">, dispositions were reached on </w:t>
      </w:r>
      <w:r w:rsidR="000407A0" w:rsidRPr="00E13F47">
        <w:rPr>
          <w:rFonts w:ascii="Arial" w:eastAsia="Times New Roman" w:hAnsi="Arial" w:cs="Arial"/>
        </w:rPr>
        <w:t>1</w:t>
      </w:r>
      <w:r w:rsidR="00A34C9C" w:rsidRPr="00E13F47">
        <w:rPr>
          <w:rFonts w:ascii="Arial" w:eastAsia="Times New Roman" w:hAnsi="Arial" w:cs="Arial"/>
        </w:rPr>
        <w:t>,</w:t>
      </w:r>
      <w:r w:rsidR="000407A0" w:rsidRPr="00E13F47">
        <w:rPr>
          <w:rFonts w:ascii="Arial" w:eastAsia="Times New Roman" w:hAnsi="Arial" w:cs="Arial"/>
        </w:rPr>
        <w:t>485</w:t>
      </w:r>
      <w:r w:rsidR="00AC360F" w:rsidRPr="00E13F47">
        <w:rPr>
          <w:rFonts w:ascii="Arial" w:eastAsia="Times New Roman" w:hAnsi="Arial" w:cs="Arial"/>
        </w:rPr>
        <w:t xml:space="preserve"> </w:t>
      </w:r>
      <w:r w:rsidRPr="00E13F47">
        <w:rPr>
          <w:rFonts w:ascii="Arial" w:eastAsia="Times New Roman" w:hAnsi="Arial" w:cs="Arial"/>
        </w:rPr>
        <w:t>cases inv</w:t>
      </w:r>
      <w:r w:rsidR="00AC360F" w:rsidRPr="00E13F47">
        <w:rPr>
          <w:rFonts w:ascii="Arial" w:eastAsia="Times New Roman" w:hAnsi="Arial" w:cs="Arial"/>
        </w:rPr>
        <w:t>olving complaints against OPD</w:t>
      </w:r>
      <w:r w:rsidR="000D32D0">
        <w:rPr>
          <w:rFonts w:ascii="Arial" w:eastAsia="Times New Roman" w:hAnsi="Arial" w:cs="Arial"/>
        </w:rPr>
        <w:t xml:space="preserve"> employees, both sworn and professional staff</w:t>
      </w:r>
      <w:r w:rsidR="00AC360F" w:rsidRPr="00E13F47">
        <w:rPr>
          <w:rFonts w:ascii="Arial" w:eastAsia="Times New Roman" w:hAnsi="Arial" w:cs="Arial"/>
        </w:rPr>
        <w:t>.</w:t>
      </w:r>
      <w:r w:rsidR="00135328" w:rsidRPr="00E13F47">
        <w:rPr>
          <w:rFonts w:ascii="Arial" w:eastAsia="Times New Roman" w:hAnsi="Arial" w:cs="Arial"/>
        </w:rPr>
        <w:t xml:space="preserve"> </w:t>
      </w:r>
      <w:r w:rsidR="00C80C7E">
        <w:rPr>
          <w:rFonts w:ascii="Arial" w:eastAsia="Times New Roman" w:hAnsi="Arial" w:cs="Arial"/>
        </w:rPr>
        <w:t>Note - s</w:t>
      </w:r>
      <w:r w:rsidR="00135328" w:rsidRPr="00E13F47">
        <w:rPr>
          <w:rFonts w:ascii="Arial" w:eastAsia="Times New Roman" w:hAnsi="Arial" w:cs="Arial"/>
        </w:rPr>
        <w:t>ome of these cases were filed prior to January 1, 2019</w:t>
      </w:r>
      <w:r w:rsidR="00F96EBC" w:rsidRPr="00E13F47">
        <w:rPr>
          <w:rFonts w:ascii="Arial" w:eastAsia="Times New Roman" w:hAnsi="Arial" w:cs="Arial"/>
        </w:rPr>
        <w:t xml:space="preserve"> but had completed dispositions during this period. </w:t>
      </w:r>
    </w:p>
    <w:p w14:paraId="4F542BF2" w14:textId="20486F07" w:rsidR="00324FBD" w:rsidRDefault="001F7310" w:rsidP="00D36108">
      <w:pPr>
        <w:shd w:val="clear" w:color="auto" w:fill="FFFFFF"/>
        <w:jc w:val="both"/>
        <w:rPr>
          <w:rFonts w:ascii="Arial" w:eastAsia="Times New Roman" w:hAnsi="Arial" w:cs="Arial"/>
        </w:rPr>
      </w:pPr>
      <w:r>
        <w:rPr>
          <w:rFonts w:ascii="Arial" w:eastAsia="Times New Roman" w:hAnsi="Arial" w:cs="Arial"/>
          <w:noProof/>
        </w:rPr>
        <w:lastRenderedPageBreak/>
        <w:drawing>
          <wp:inline distT="0" distB="0" distL="0" distR="0" wp14:anchorId="48D3EC9D" wp14:editId="30459FA4">
            <wp:extent cx="6400800" cy="2463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t="10393"/>
                    <a:stretch/>
                  </pic:blipFill>
                  <pic:spPr bwMode="auto">
                    <a:xfrm>
                      <a:off x="0" y="0"/>
                      <a:ext cx="6400800" cy="2463800"/>
                    </a:xfrm>
                    <a:prstGeom prst="rect">
                      <a:avLst/>
                    </a:prstGeom>
                    <a:noFill/>
                    <a:ln>
                      <a:noFill/>
                    </a:ln>
                    <a:extLst>
                      <a:ext uri="{53640926-AAD7-44D8-BBD7-CCE9431645EC}">
                        <a14:shadowObscured xmlns:a14="http://schemas.microsoft.com/office/drawing/2010/main"/>
                      </a:ext>
                    </a:extLst>
                  </pic:spPr>
                </pic:pic>
              </a:graphicData>
            </a:graphic>
          </wp:inline>
        </w:drawing>
      </w:r>
    </w:p>
    <w:p w14:paraId="487A45E8" w14:textId="748E36F6" w:rsidR="00324FBD" w:rsidRDefault="00324FBD" w:rsidP="00D36108">
      <w:pPr>
        <w:shd w:val="clear" w:color="auto" w:fill="FFFFFF"/>
        <w:jc w:val="both"/>
        <w:rPr>
          <w:rFonts w:ascii="Arial" w:eastAsia="Times New Roman" w:hAnsi="Arial" w:cs="Arial"/>
        </w:rPr>
      </w:pPr>
    </w:p>
    <w:p w14:paraId="497C8957" w14:textId="77777777" w:rsidR="00981356" w:rsidRDefault="00981356" w:rsidP="00D36108">
      <w:pPr>
        <w:shd w:val="clear" w:color="auto" w:fill="FFFFFF"/>
        <w:jc w:val="both"/>
        <w:rPr>
          <w:rFonts w:ascii="Arial" w:eastAsia="Times New Roman" w:hAnsi="Arial" w:cs="Arial"/>
        </w:rPr>
      </w:pPr>
    </w:p>
    <w:p w14:paraId="37F51384" w14:textId="24BCDE87" w:rsidR="00F31CFC" w:rsidRPr="00E13F47" w:rsidRDefault="00F0444F" w:rsidP="00FF34E4">
      <w:pPr>
        <w:pStyle w:val="ListParagraph"/>
        <w:widowControl w:val="0"/>
        <w:numPr>
          <w:ilvl w:val="0"/>
          <w:numId w:val="36"/>
        </w:numPr>
        <w:autoSpaceDE w:val="0"/>
        <w:autoSpaceDN w:val="0"/>
        <w:adjustRightInd w:val="0"/>
        <w:ind w:left="360" w:right="62"/>
        <w:jc w:val="both"/>
        <w:rPr>
          <w:rFonts w:ascii="Arial" w:hAnsi="Arial" w:cs="Arial"/>
          <w:color w:val="000000"/>
        </w:rPr>
      </w:pPr>
      <w:r w:rsidRPr="00E13F47">
        <w:rPr>
          <w:rFonts w:ascii="Arial" w:eastAsia="Times New Roman" w:hAnsi="Arial" w:cs="Arial"/>
          <w:b/>
          <w:noProof/>
        </w:rPr>
        <w:t xml:space="preserve">Sustained: </w:t>
      </w:r>
      <w:r w:rsidR="00F31CFC" w:rsidRPr="00E13F47">
        <w:rPr>
          <w:rFonts w:ascii="Arial" w:hAnsi="Arial" w:cs="Arial"/>
          <w:color w:val="000000"/>
        </w:rPr>
        <w:t>When</w:t>
      </w:r>
      <w:r w:rsidR="00F31CFC" w:rsidRPr="00E13F47">
        <w:rPr>
          <w:rFonts w:ascii="Arial" w:hAnsi="Arial" w:cs="Arial"/>
          <w:color w:val="000000"/>
          <w:spacing w:val="-15"/>
        </w:rPr>
        <w:t xml:space="preserve"> </w:t>
      </w:r>
      <w:r w:rsidR="00F31CFC" w:rsidRPr="00E13F47">
        <w:rPr>
          <w:rFonts w:ascii="Arial" w:hAnsi="Arial" w:cs="Arial"/>
          <w:color w:val="000000"/>
        </w:rPr>
        <w:t>an</w:t>
      </w:r>
      <w:r w:rsidR="00F31CFC" w:rsidRPr="00E13F47">
        <w:rPr>
          <w:rFonts w:ascii="Arial" w:hAnsi="Arial" w:cs="Arial"/>
          <w:color w:val="000000"/>
          <w:spacing w:val="-15"/>
        </w:rPr>
        <w:t xml:space="preserve"> </w:t>
      </w:r>
      <w:r w:rsidR="00F31CFC" w:rsidRPr="00E13F47">
        <w:rPr>
          <w:rFonts w:ascii="Arial" w:hAnsi="Arial" w:cs="Arial"/>
          <w:color w:val="000000"/>
        </w:rPr>
        <w:t>investigation</w:t>
      </w:r>
      <w:r w:rsidR="00F31CFC" w:rsidRPr="00E13F47">
        <w:rPr>
          <w:rFonts w:ascii="Arial" w:hAnsi="Arial" w:cs="Arial"/>
          <w:color w:val="000000"/>
          <w:spacing w:val="-15"/>
        </w:rPr>
        <w:t xml:space="preserve"> </w:t>
      </w:r>
      <w:r w:rsidR="00F31CFC" w:rsidRPr="00E13F47">
        <w:rPr>
          <w:rFonts w:ascii="Arial" w:hAnsi="Arial" w:cs="Arial"/>
          <w:color w:val="000000"/>
        </w:rPr>
        <w:t>discloses</w:t>
      </w:r>
      <w:r w:rsidR="00F31CFC" w:rsidRPr="00E13F47">
        <w:rPr>
          <w:rFonts w:ascii="Arial" w:hAnsi="Arial" w:cs="Arial"/>
          <w:color w:val="000000"/>
          <w:spacing w:val="-15"/>
        </w:rPr>
        <w:t xml:space="preserve"> </w:t>
      </w:r>
      <w:r w:rsidR="00F31CFC" w:rsidRPr="00E13F47">
        <w:rPr>
          <w:rFonts w:ascii="Arial" w:hAnsi="Arial" w:cs="Arial"/>
          <w:color w:val="000000"/>
        </w:rPr>
        <w:t>sufficient</w:t>
      </w:r>
      <w:r w:rsidR="00F31CFC" w:rsidRPr="00E13F47">
        <w:rPr>
          <w:rFonts w:ascii="Arial" w:hAnsi="Arial" w:cs="Arial"/>
          <w:color w:val="000000"/>
          <w:spacing w:val="-15"/>
        </w:rPr>
        <w:t xml:space="preserve"> </w:t>
      </w:r>
      <w:r w:rsidR="00F31CFC" w:rsidRPr="00E13F47">
        <w:rPr>
          <w:rFonts w:ascii="Arial" w:hAnsi="Arial" w:cs="Arial"/>
          <w:color w:val="000000"/>
        </w:rPr>
        <w:t>evidence</w:t>
      </w:r>
      <w:r w:rsidR="00F31CFC" w:rsidRPr="00E13F47">
        <w:rPr>
          <w:rFonts w:ascii="Arial" w:hAnsi="Arial" w:cs="Arial"/>
          <w:color w:val="000000"/>
          <w:spacing w:val="-15"/>
        </w:rPr>
        <w:t xml:space="preserve"> </w:t>
      </w:r>
      <w:r w:rsidR="00F31CFC" w:rsidRPr="00E13F47">
        <w:rPr>
          <w:rFonts w:ascii="Arial" w:hAnsi="Arial" w:cs="Arial"/>
          <w:color w:val="000000"/>
        </w:rPr>
        <w:t>to</w:t>
      </w:r>
      <w:r w:rsidR="00F31CFC" w:rsidRPr="00E13F47">
        <w:rPr>
          <w:rFonts w:ascii="Arial" w:hAnsi="Arial" w:cs="Arial"/>
          <w:color w:val="000000"/>
          <w:spacing w:val="-15"/>
        </w:rPr>
        <w:t xml:space="preserve"> </w:t>
      </w:r>
      <w:r w:rsidR="00F31CFC" w:rsidRPr="00E13F47">
        <w:rPr>
          <w:rFonts w:ascii="Arial" w:hAnsi="Arial" w:cs="Arial"/>
          <w:color w:val="000000"/>
        </w:rPr>
        <w:t>establish</w:t>
      </w:r>
      <w:r w:rsidR="00F31CFC" w:rsidRPr="00E13F47">
        <w:rPr>
          <w:rFonts w:ascii="Arial" w:hAnsi="Arial" w:cs="Arial"/>
          <w:color w:val="000000"/>
          <w:spacing w:val="-15"/>
        </w:rPr>
        <w:t xml:space="preserve"> </w:t>
      </w:r>
      <w:r w:rsidR="00F31CFC" w:rsidRPr="00E13F47">
        <w:rPr>
          <w:rFonts w:ascii="Arial" w:hAnsi="Arial" w:cs="Arial"/>
          <w:color w:val="000000"/>
        </w:rPr>
        <w:t>that</w:t>
      </w:r>
      <w:r w:rsidR="00F31CFC" w:rsidRPr="00E13F47">
        <w:rPr>
          <w:rFonts w:ascii="Arial" w:hAnsi="Arial" w:cs="Arial"/>
          <w:color w:val="000000"/>
          <w:spacing w:val="-15"/>
        </w:rPr>
        <w:t xml:space="preserve"> </w:t>
      </w:r>
      <w:r w:rsidR="00F31CFC" w:rsidRPr="00E13F47">
        <w:rPr>
          <w:rFonts w:ascii="Arial" w:hAnsi="Arial" w:cs="Arial"/>
          <w:color w:val="000000"/>
        </w:rPr>
        <w:t>the</w:t>
      </w:r>
      <w:r w:rsidR="00F31CFC" w:rsidRPr="00E13F47">
        <w:rPr>
          <w:rFonts w:ascii="Arial" w:hAnsi="Arial" w:cs="Arial"/>
          <w:color w:val="000000"/>
          <w:spacing w:val="-15"/>
        </w:rPr>
        <w:t xml:space="preserve"> </w:t>
      </w:r>
      <w:r w:rsidR="00F31CFC" w:rsidRPr="00E13F47">
        <w:rPr>
          <w:rFonts w:ascii="Arial" w:hAnsi="Arial" w:cs="Arial"/>
          <w:color w:val="000000"/>
        </w:rPr>
        <w:t>act</w:t>
      </w:r>
      <w:r w:rsidR="00F31CFC" w:rsidRPr="00E13F47">
        <w:rPr>
          <w:rFonts w:ascii="Arial" w:hAnsi="Arial" w:cs="Arial"/>
          <w:color w:val="000000"/>
          <w:spacing w:val="-15"/>
        </w:rPr>
        <w:t xml:space="preserve"> </w:t>
      </w:r>
      <w:r w:rsidR="00F31CFC" w:rsidRPr="00E13F47">
        <w:rPr>
          <w:rFonts w:ascii="Arial" w:hAnsi="Arial" w:cs="Arial"/>
          <w:color w:val="000000"/>
        </w:rPr>
        <w:t xml:space="preserve">occurred and that it constituted misconduct. </w:t>
      </w:r>
    </w:p>
    <w:p w14:paraId="4FFA7D41" w14:textId="45233E69" w:rsidR="00F31CFC" w:rsidRPr="00E13F47" w:rsidRDefault="00F31CFC" w:rsidP="00FF34E4">
      <w:pPr>
        <w:pStyle w:val="ListParagraph"/>
        <w:widowControl w:val="0"/>
        <w:numPr>
          <w:ilvl w:val="0"/>
          <w:numId w:val="36"/>
        </w:numPr>
        <w:autoSpaceDE w:val="0"/>
        <w:autoSpaceDN w:val="0"/>
        <w:adjustRightInd w:val="0"/>
        <w:ind w:left="360" w:right="62"/>
        <w:jc w:val="both"/>
        <w:rPr>
          <w:rFonts w:ascii="Arial" w:hAnsi="Arial" w:cs="Arial"/>
          <w:color w:val="000000"/>
        </w:rPr>
      </w:pPr>
      <w:r w:rsidRPr="00E13F47">
        <w:rPr>
          <w:rFonts w:ascii="Arial" w:hAnsi="Arial" w:cs="Arial"/>
          <w:b/>
          <w:color w:val="000000"/>
        </w:rPr>
        <w:t>Not Sustained</w:t>
      </w:r>
      <w:r w:rsidRPr="00E13F47">
        <w:rPr>
          <w:rFonts w:ascii="Arial" w:hAnsi="Arial" w:cs="Arial"/>
          <w:color w:val="000000"/>
        </w:rPr>
        <w:t xml:space="preserve">: When an investigation discloses that there is insufficient evidence to sustain the complaint or fully exonerate the member. </w:t>
      </w:r>
    </w:p>
    <w:p w14:paraId="57A3F955" w14:textId="64E7F0FD" w:rsidR="006936F3" w:rsidRPr="00E13F47" w:rsidRDefault="006936F3" w:rsidP="00FF34E4">
      <w:pPr>
        <w:pStyle w:val="ListParagraph"/>
        <w:widowControl w:val="0"/>
        <w:numPr>
          <w:ilvl w:val="0"/>
          <w:numId w:val="36"/>
        </w:numPr>
        <w:autoSpaceDE w:val="0"/>
        <w:autoSpaceDN w:val="0"/>
        <w:adjustRightInd w:val="0"/>
        <w:ind w:left="360" w:right="62"/>
        <w:jc w:val="both"/>
        <w:rPr>
          <w:rFonts w:ascii="Arial" w:hAnsi="Arial" w:cs="Arial"/>
          <w:color w:val="000000"/>
        </w:rPr>
      </w:pPr>
      <w:r w:rsidRPr="00E13F47">
        <w:rPr>
          <w:rFonts w:ascii="Arial" w:hAnsi="Arial" w:cs="Arial"/>
          <w:b/>
          <w:color w:val="000000"/>
        </w:rPr>
        <w:t>Unfounded</w:t>
      </w:r>
      <w:r w:rsidRPr="00E13F47">
        <w:rPr>
          <w:rFonts w:ascii="Arial" w:hAnsi="Arial" w:cs="Arial"/>
          <w:color w:val="000000"/>
        </w:rPr>
        <w:t xml:space="preserve">: When an investigation discloses that the alleged acts did not occur or did not involve department members. Complaints determined to be frivolous are classified as unfounded. </w:t>
      </w:r>
    </w:p>
    <w:p w14:paraId="48A12019" w14:textId="41AE8985" w:rsidR="00F31CFC" w:rsidRPr="00E13F47" w:rsidRDefault="006936F3" w:rsidP="00FF34E4">
      <w:pPr>
        <w:pStyle w:val="ListParagraph"/>
        <w:widowControl w:val="0"/>
        <w:numPr>
          <w:ilvl w:val="0"/>
          <w:numId w:val="36"/>
        </w:numPr>
        <w:autoSpaceDE w:val="0"/>
        <w:autoSpaceDN w:val="0"/>
        <w:adjustRightInd w:val="0"/>
        <w:ind w:left="360" w:right="62"/>
        <w:jc w:val="both"/>
        <w:rPr>
          <w:rFonts w:ascii="Arial" w:hAnsi="Arial" w:cs="Arial"/>
          <w:color w:val="000000"/>
        </w:rPr>
      </w:pPr>
      <w:r w:rsidRPr="00E13F47">
        <w:rPr>
          <w:rFonts w:ascii="Arial" w:hAnsi="Arial" w:cs="Arial"/>
          <w:b/>
          <w:color w:val="000000"/>
        </w:rPr>
        <w:t>Exonerated</w:t>
      </w:r>
      <w:r w:rsidRPr="00E13F47">
        <w:rPr>
          <w:rFonts w:ascii="Arial" w:hAnsi="Arial" w:cs="Arial"/>
          <w:color w:val="000000"/>
        </w:rPr>
        <w:t xml:space="preserve">: When an investigation discloses that the alleged act occurred but was justified, lawful, and/or proper. </w:t>
      </w:r>
    </w:p>
    <w:p w14:paraId="68594056" w14:textId="21C06386" w:rsidR="006936F3" w:rsidRPr="00E13F47" w:rsidRDefault="006936F3" w:rsidP="00FF34E4">
      <w:pPr>
        <w:pStyle w:val="ListParagraph"/>
        <w:widowControl w:val="0"/>
        <w:numPr>
          <w:ilvl w:val="0"/>
          <w:numId w:val="36"/>
        </w:numPr>
        <w:autoSpaceDE w:val="0"/>
        <w:autoSpaceDN w:val="0"/>
        <w:adjustRightInd w:val="0"/>
        <w:ind w:left="360" w:right="62"/>
        <w:jc w:val="both"/>
        <w:rPr>
          <w:rFonts w:ascii="Arial" w:hAnsi="Arial" w:cs="Arial"/>
          <w:color w:val="000000"/>
        </w:rPr>
      </w:pPr>
      <w:r w:rsidRPr="00E13F47">
        <w:rPr>
          <w:rFonts w:ascii="Arial" w:hAnsi="Arial" w:cs="Arial"/>
          <w:b/>
          <w:color w:val="000000"/>
        </w:rPr>
        <w:t>Informally Resolved</w:t>
      </w:r>
      <w:r w:rsidRPr="00E13F47">
        <w:rPr>
          <w:rFonts w:ascii="Arial" w:hAnsi="Arial" w:cs="Arial"/>
          <w:color w:val="000000"/>
        </w:rPr>
        <w:t xml:space="preserve">: </w:t>
      </w:r>
      <w:r w:rsidR="0083223F" w:rsidRPr="00E13F47">
        <w:rPr>
          <w:rFonts w:ascii="Arial" w:hAnsi="Arial" w:cs="Arial"/>
          <w:color w:val="000000"/>
        </w:rPr>
        <w:t xml:space="preserve">OPD provides for an Informal Complaint Resolution (ICR) process. This is when a complainant agrees to have a subject employee’s supervisor sit down with the employee for training, policy review, and/or a discussion of alternatives to handling whatever matter led to the complaint. The ICR is documented in the subject employee’s electronic file and the IAD control file. </w:t>
      </w:r>
    </w:p>
    <w:p w14:paraId="03DAE362" w14:textId="2C6C5EB3" w:rsidR="004324B6" w:rsidRDefault="004324B6" w:rsidP="00FF34E4">
      <w:pPr>
        <w:pStyle w:val="ListParagraph"/>
        <w:numPr>
          <w:ilvl w:val="0"/>
          <w:numId w:val="36"/>
        </w:numPr>
        <w:shd w:val="clear" w:color="auto" w:fill="FFFFFF"/>
        <w:ind w:left="360"/>
        <w:jc w:val="both"/>
        <w:rPr>
          <w:rFonts w:ascii="Arial" w:eastAsia="Times New Roman" w:hAnsi="Arial" w:cs="Arial"/>
        </w:rPr>
      </w:pPr>
      <w:r w:rsidRPr="00E13F47">
        <w:rPr>
          <w:rFonts w:ascii="Arial" w:eastAsia="Times New Roman" w:hAnsi="Arial" w:cs="Arial"/>
          <w:b/>
        </w:rPr>
        <w:t>Administratively Closed</w:t>
      </w:r>
      <w:r w:rsidR="005B4701" w:rsidRPr="00E13F47">
        <w:rPr>
          <w:rFonts w:ascii="Arial" w:eastAsia="Times New Roman" w:hAnsi="Arial" w:cs="Arial"/>
        </w:rPr>
        <w:t>:</w:t>
      </w:r>
      <w:r w:rsidR="0030540D" w:rsidRPr="00E13F47">
        <w:rPr>
          <w:rFonts w:ascii="Arial" w:eastAsia="Times New Roman" w:hAnsi="Arial" w:cs="Arial"/>
        </w:rPr>
        <w:t xml:space="preserve"> </w:t>
      </w:r>
      <w:r w:rsidR="00EF779D" w:rsidRPr="00E13F47">
        <w:rPr>
          <w:rFonts w:ascii="Arial" w:eastAsia="Times New Roman" w:hAnsi="Arial" w:cs="Arial"/>
        </w:rPr>
        <w:t>T</w:t>
      </w:r>
      <w:r w:rsidR="005B4701" w:rsidRPr="00E13F47">
        <w:rPr>
          <w:rFonts w:ascii="Arial" w:eastAsia="Times New Roman" w:hAnsi="Arial" w:cs="Arial"/>
        </w:rPr>
        <w:t>he complaint was</w:t>
      </w:r>
      <w:r w:rsidRPr="00E13F47">
        <w:rPr>
          <w:rFonts w:ascii="Arial" w:eastAsia="Times New Roman" w:hAnsi="Arial" w:cs="Arial"/>
        </w:rPr>
        <w:t xml:space="preserve"> based on a service complaint or the investigation could not or should not proceed. </w:t>
      </w:r>
      <w:r w:rsidR="00C80C7E">
        <w:rPr>
          <w:rFonts w:ascii="Arial" w:eastAsia="Times New Roman" w:hAnsi="Arial" w:cs="Arial"/>
        </w:rPr>
        <w:t>These</w:t>
      </w:r>
      <w:r w:rsidRPr="00E13F47">
        <w:rPr>
          <w:rFonts w:ascii="Arial" w:eastAsia="Times New Roman" w:hAnsi="Arial" w:cs="Arial"/>
        </w:rPr>
        <w:t xml:space="preserve"> include the complainant withdrawing the complaint; the affected OPD employee separating from employment; a failure of the complainant to identify an act or omission that would constitute a</w:t>
      </w:r>
      <w:r w:rsidR="00AF6EEA">
        <w:rPr>
          <w:rFonts w:ascii="Arial" w:eastAsia="Times New Roman" w:hAnsi="Arial" w:cs="Arial"/>
        </w:rPr>
        <w:t xml:space="preserve"> MOR </w:t>
      </w:r>
      <w:r w:rsidRPr="00E13F47">
        <w:rPr>
          <w:rFonts w:ascii="Arial" w:eastAsia="Times New Roman" w:hAnsi="Arial" w:cs="Arial"/>
        </w:rPr>
        <w:t xml:space="preserve">violation; or a service complaint. </w:t>
      </w:r>
      <w:r w:rsidRPr="00E13F47">
        <w:rPr>
          <w:rFonts w:ascii="Arial" w:eastAsia="Times New Roman" w:hAnsi="Arial" w:cs="Arial"/>
          <w:noProof/>
        </w:rPr>
        <w:t>Some of the cases filed in the period of January 1 to June 30, 2019 were still in progress and did not have a finding yet during this period</w:t>
      </w:r>
      <w:r w:rsidR="00F96EBC" w:rsidRPr="00E13F47">
        <w:rPr>
          <w:rFonts w:ascii="Arial" w:eastAsia="Times New Roman" w:hAnsi="Arial" w:cs="Arial"/>
          <w:noProof/>
        </w:rPr>
        <w:t>.</w:t>
      </w:r>
    </w:p>
    <w:p w14:paraId="529370C7" w14:textId="57FEF954" w:rsidR="00507F31" w:rsidRPr="00507F31" w:rsidRDefault="00507F31" w:rsidP="00507F31">
      <w:pPr>
        <w:shd w:val="clear" w:color="auto" w:fill="FFFFFF"/>
        <w:jc w:val="both"/>
        <w:rPr>
          <w:rFonts w:ascii="Arial" w:eastAsia="Times New Roman" w:hAnsi="Arial" w:cs="Arial"/>
        </w:rPr>
      </w:pPr>
    </w:p>
    <w:p w14:paraId="478879BD" w14:textId="6C35AEF1" w:rsidR="007E5E74" w:rsidRDefault="00B303CA" w:rsidP="007E5E74">
      <w:pPr>
        <w:shd w:val="clear" w:color="auto" w:fill="FFFFFF"/>
        <w:jc w:val="both"/>
        <w:rPr>
          <w:rFonts w:ascii="Arial" w:eastAsia="Times New Roman" w:hAnsi="Arial" w:cs="Arial"/>
        </w:rPr>
      </w:pPr>
      <w:r>
        <w:rPr>
          <w:noProof/>
        </w:rPr>
        <w:drawing>
          <wp:inline distT="0" distB="0" distL="0" distR="0" wp14:anchorId="62854A9C" wp14:editId="6CBF8D1D">
            <wp:extent cx="6581775" cy="2743200"/>
            <wp:effectExtent l="0" t="0" r="9525" b="0"/>
            <wp:docPr id="4" name="Chart 4">
              <a:extLst xmlns:a="http://schemas.openxmlformats.org/drawingml/2006/main">
                <a:ext uri="{FF2B5EF4-FFF2-40B4-BE49-F238E27FC236}">
                  <a16:creationId xmlns:a16="http://schemas.microsoft.com/office/drawing/2014/main" id="{D0295E99-864C-4C2A-A505-0C230E6FE5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B01E8C" w14:textId="77777777" w:rsidR="00AF6EEA" w:rsidRDefault="00AF6EEA" w:rsidP="007E5E74">
      <w:pPr>
        <w:shd w:val="clear" w:color="auto" w:fill="FFFFFF"/>
        <w:jc w:val="both"/>
        <w:rPr>
          <w:rFonts w:ascii="Arial" w:eastAsia="Times New Roman" w:hAnsi="Arial" w:cs="Arial"/>
        </w:rPr>
      </w:pPr>
    </w:p>
    <w:p w14:paraId="556ABC48" w14:textId="77777777" w:rsidR="004C0716" w:rsidRPr="00E13F47" w:rsidRDefault="004C0716" w:rsidP="00AF6EEA">
      <w:pPr>
        <w:spacing w:after="200" w:line="276" w:lineRule="auto"/>
        <w:jc w:val="center"/>
        <w:rPr>
          <w:rFonts w:ascii="Arial" w:eastAsia="Times New Roman" w:hAnsi="Arial" w:cs="Arial"/>
          <w:b/>
          <w:noProof/>
          <w:u w:val="single"/>
        </w:rPr>
      </w:pPr>
      <w:r w:rsidRPr="00E13F47">
        <w:rPr>
          <w:rFonts w:ascii="Arial" w:eastAsia="Times New Roman" w:hAnsi="Arial" w:cs="Arial"/>
          <w:b/>
          <w:noProof/>
          <w:u w:val="single"/>
        </w:rPr>
        <w:t xml:space="preserve">Disciplinary Decisions </w:t>
      </w:r>
      <w:r w:rsidR="00964CDB" w:rsidRPr="00E13F47">
        <w:rPr>
          <w:rFonts w:ascii="Arial" w:eastAsia="Times New Roman" w:hAnsi="Arial" w:cs="Arial"/>
          <w:b/>
          <w:noProof/>
          <w:u w:val="single"/>
        </w:rPr>
        <w:t>for Sustained Cases January 201</w:t>
      </w:r>
      <w:r w:rsidR="00914A81">
        <w:rPr>
          <w:rFonts w:ascii="Arial" w:eastAsia="Times New Roman" w:hAnsi="Arial" w:cs="Arial"/>
          <w:b/>
          <w:noProof/>
          <w:u w:val="single"/>
        </w:rPr>
        <w:t>9</w:t>
      </w:r>
      <w:r w:rsidR="00964CDB" w:rsidRPr="00E13F47">
        <w:rPr>
          <w:rFonts w:ascii="Arial" w:eastAsia="Times New Roman" w:hAnsi="Arial" w:cs="Arial"/>
          <w:b/>
          <w:noProof/>
          <w:u w:val="single"/>
        </w:rPr>
        <w:t xml:space="preserve"> to </w:t>
      </w:r>
      <w:r w:rsidR="00673F76" w:rsidRPr="00E13F47">
        <w:rPr>
          <w:rFonts w:ascii="Arial" w:eastAsia="Times New Roman" w:hAnsi="Arial" w:cs="Arial"/>
          <w:b/>
          <w:noProof/>
          <w:u w:val="single"/>
        </w:rPr>
        <w:t xml:space="preserve">June </w:t>
      </w:r>
      <w:r w:rsidR="000407A0" w:rsidRPr="00E13F47">
        <w:rPr>
          <w:rFonts w:ascii="Arial" w:eastAsia="Times New Roman" w:hAnsi="Arial" w:cs="Arial"/>
          <w:b/>
          <w:noProof/>
          <w:u w:val="single"/>
        </w:rPr>
        <w:t>2019</w:t>
      </w:r>
    </w:p>
    <w:p w14:paraId="3659AA61" w14:textId="3A6BD3C5" w:rsidR="004358BB" w:rsidRPr="00E13F47" w:rsidRDefault="00B76DB7" w:rsidP="00D36108">
      <w:pPr>
        <w:shd w:val="clear" w:color="auto" w:fill="FFFFFF"/>
        <w:jc w:val="both"/>
        <w:rPr>
          <w:rFonts w:ascii="Arial" w:eastAsia="Times New Roman" w:hAnsi="Arial" w:cs="Arial"/>
          <w:b/>
          <w:noProof/>
          <w:u w:val="single"/>
        </w:rPr>
      </w:pPr>
      <w:r>
        <w:rPr>
          <w:noProof/>
        </w:rPr>
        <w:drawing>
          <wp:inline distT="0" distB="0" distL="0" distR="0" wp14:anchorId="55A7F3D2" wp14:editId="7737DC83">
            <wp:extent cx="6507677" cy="2743200"/>
            <wp:effectExtent l="0" t="0" r="7620" b="0"/>
            <wp:docPr id="22" name="Chart 22">
              <a:extLst xmlns:a="http://schemas.openxmlformats.org/drawingml/2006/main">
                <a:ext uri="{FF2B5EF4-FFF2-40B4-BE49-F238E27FC236}">
                  <a16:creationId xmlns:a16="http://schemas.microsoft.com/office/drawing/2014/main" id="{53292F1E-2AF3-4528-80A3-A33718D192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C604E6" w14:textId="39E24BDD" w:rsidR="004C0716" w:rsidRPr="00E13F47" w:rsidRDefault="004C0716" w:rsidP="00FC47A4">
      <w:pPr>
        <w:shd w:val="clear" w:color="auto" w:fill="FFFFFF"/>
        <w:jc w:val="center"/>
        <w:rPr>
          <w:rFonts w:ascii="Arial" w:eastAsia="Times New Roman" w:hAnsi="Arial" w:cs="Arial"/>
        </w:rPr>
      </w:pPr>
    </w:p>
    <w:p w14:paraId="5F2F928D" w14:textId="77777777" w:rsidR="00D63414" w:rsidRPr="00E13F47" w:rsidRDefault="00D63414" w:rsidP="00D36108">
      <w:pPr>
        <w:shd w:val="clear" w:color="auto" w:fill="FFFFFF"/>
        <w:jc w:val="both"/>
        <w:rPr>
          <w:rFonts w:ascii="Arial" w:eastAsia="Times New Roman" w:hAnsi="Arial" w:cs="Arial"/>
        </w:rPr>
      </w:pPr>
    </w:p>
    <w:p w14:paraId="19B6D73B" w14:textId="5387C290" w:rsidR="000762B6" w:rsidRDefault="00955F91" w:rsidP="00F262D1">
      <w:pPr>
        <w:spacing w:after="200"/>
        <w:jc w:val="both"/>
        <w:rPr>
          <w:rFonts w:ascii="Arial" w:eastAsia="Times New Roman" w:hAnsi="Arial" w:cs="Arial"/>
        </w:rPr>
      </w:pPr>
      <w:r w:rsidRPr="00E13F47">
        <w:rPr>
          <w:rFonts w:ascii="Arial" w:eastAsia="Times New Roman" w:hAnsi="Arial" w:cs="Arial"/>
        </w:rPr>
        <w:t xml:space="preserve">For sustained allegations of misconduct, discipline ranging from counseling/training to termination may be imposed. </w:t>
      </w:r>
      <w:r w:rsidR="00B76DB7">
        <w:rPr>
          <w:rFonts w:ascii="Arial" w:eastAsia="Times New Roman" w:hAnsi="Arial" w:cs="Arial"/>
        </w:rPr>
        <w:t xml:space="preserve">During this review period there were 111 sustained case discipline decisions. </w:t>
      </w:r>
      <w:r w:rsidR="00C64B5E" w:rsidRPr="00E13F47">
        <w:rPr>
          <w:rFonts w:ascii="Arial" w:eastAsia="Times New Roman" w:hAnsi="Arial" w:cs="Arial"/>
        </w:rPr>
        <w:t>T</w:t>
      </w:r>
      <w:r w:rsidRPr="00E13F47">
        <w:rPr>
          <w:rFonts w:ascii="Arial" w:eastAsia="Times New Roman" w:hAnsi="Arial" w:cs="Arial"/>
        </w:rPr>
        <w:t>he most common discipline im</w:t>
      </w:r>
      <w:r w:rsidR="007519AE" w:rsidRPr="00E13F47">
        <w:rPr>
          <w:rFonts w:ascii="Arial" w:eastAsia="Times New Roman" w:hAnsi="Arial" w:cs="Arial"/>
        </w:rPr>
        <w:t>posed for Q1 and Q2 201</w:t>
      </w:r>
      <w:r w:rsidR="005A5E41" w:rsidRPr="00E13F47">
        <w:rPr>
          <w:rFonts w:ascii="Arial" w:eastAsia="Times New Roman" w:hAnsi="Arial" w:cs="Arial"/>
        </w:rPr>
        <w:t>9</w:t>
      </w:r>
      <w:r w:rsidR="007519AE" w:rsidRPr="00E13F47">
        <w:rPr>
          <w:rFonts w:ascii="Arial" w:eastAsia="Times New Roman" w:hAnsi="Arial" w:cs="Arial"/>
        </w:rPr>
        <w:t xml:space="preserve"> was </w:t>
      </w:r>
      <w:r w:rsidR="005A5E41" w:rsidRPr="00E13F47">
        <w:rPr>
          <w:rFonts w:ascii="Arial" w:eastAsia="Times New Roman" w:hAnsi="Arial" w:cs="Arial"/>
        </w:rPr>
        <w:t xml:space="preserve">a written reprimand (40 percent); followed by </w:t>
      </w:r>
      <w:r w:rsidR="007519AE" w:rsidRPr="00E13F47">
        <w:rPr>
          <w:rFonts w:ascii="Arial" w:eastAsia="Times New Roman" w:hAnsi="Arial" w:cs="Arial"/>
        </w:rPr>
        <w:t>counseling/training</w:t>
      </w:r>
      <w:r w:rsidR="00E16057" w:rsidRPr="00E13F47">
        <w:rPr>
          <w:rFonts w:ascii="Arial" w:eastAsia="Times New Roman" w:hAnsi="Arial" w:cs="Arial"/>
        </w:rPr>
        <w:t xml:space="preserve"> (36 percent)</w:t>
      </w:r>
      <w:r w:rsidR="005A5E41" w:rsidRPr="00E13F47">
        <w:rPr>
          <w:rFonts w:ascii="Arial" w:eastAsia="Times New Roman" w:hAnsi="Arial" w:cs="Arial"/>
        </w:rPr>
        <w:t>;</w:t>
      </w:r>
      <w:r w:rsidR="007519AE" w:rsidRPr="00E13F47">
        <w:rPr>
          <w:rFonts w:ascii="Arial" w:eastAsia="Times New Roman" w:hAnsi="Arial" w:cs="Arial"/>
        </w:rPr>
        <w:t xml:space="preserve"> </w:t>
      </w:r>
      <w:r w:rsidR="00E83336" w:rsidRPr="00E13F47">
        <w:rPr>
          <w:rFonts w:ascii="Arial" w:eastAsia="Times New Roman" w:hAnsi="Arial" w:cs="Arial"/>
        </w:rPr>
        <w:t xml:space="preserve">and </w:t>
      </w:r>
      <w:r w:rsidR="0009430E" w:rsidRPr="00E13F47">
        <w:rPr>
          <w:rFonts w:ascii="Arial" w:eastAsia="Times New Roman" w:hAnsi="Arial" w:cs="Arial"/>
        </w:rPr>
        <w:t>suspension (</w:t>
      </w:r>
      <w:r w:rsidR="00E16057" w:rsidRPr="00E13F47">
        <w:rPr>
          <w:rFonts w:ascii="Arial" w:eastAsia="Times New Roman" w:hAnsi="Arial" w:cs="Arial"/>
        </w:rPr>
        <w:t>26</w:t>
      </w:r>
      <w:r w:rsidR="0009430E" w:rsidRPr="00E13F47">
        <w:rPr>
          <w:rFonts w:ascii="Arial" w:eastAsia="Times New Roman" w:hAnsi="Arial" w:cs="Arial"/>
        </w:rPr>
        <w:t xml:space="preserve"> percent)</w:t>
      </w:r>
      <w:r w:rsidR="00E83336" w:rsidRPr="00E13F47">
        <w:rPr>
          <w:rFonts w:ascii="Arial" w:eastAsia="Times New Roman" w:hAnsi="Arial" w:cs="Arial"/>
        </w:rPr>
        <w:t xml:space="preserve">. </w:t>
      </w:r>
      <w:r w:rsidR="00E16057" w:rsidRPr="00E13F47">
        <w:rPr>
          <w:rFonts w:ascii="Arial" w:eastAsia="Times New Roman" w:hAnsi="Arial" w:cs="Arial"/>
        </w:rPr>
        <w:t>There was one</w:t>
      </w:r>
      <w:r w:rsidR="00EA379A" w:rsidRPr="00E13F47">
        <w:rPr>
          <w:rFonts w:ascii="Arial" w:eastAsia="Times New Roman" w:hAnsi="Arial" w:cs="Arial"/>
        </w:rPr>
        <w:t xml:space="preserve"> </w:t>
      </w:r>
      <w:r w:rsidR="00B76DB7">
        <w:rPr>
          <w:rFonts w:ascii="Arial" w:eastAsia="Times New Roman" w:hAnsi="Arial" w:cs="Arial"/>
        </w:rPr>
        <w:t xml:space="preserve">termination </w:t>
      </w:r>
      <w:r w:rsidRPr="00E13F47">
        <w:rPr>
          <w:rFonts w:ascii="Arial" w:eastAsia="Times New Roman" w:hAnsi="Arial" w:cs="Arial"/>
        </w:rPr>
        <w:t xml:space="preserve">in </w:t>
      </w:r>
      <w:r w:rsidR="00AD7955" w:rsidRPr="00E13F47">
        <w:rPr>
          <w:rFonts w:ascii="Arial" w:eastAsia="Times New Roman" w:hAnsi="Arial" w:cs="Arial"/>
        </w:rPr>
        <w:t>the</w:t>
      </w:r>
      <w:r w:rsidR="007519AE" w:rsidRPr="00E13F47">
        <w:rPr>
          <w:rFonts w:ascii="Arial" w:eastAsia="Times New Roman" w:hAnsi="Arial" w:cs="Arial"/>
        </w:rPr>
        <w:t xml:space="preserve"> first half of 201</w:t>
      </w:r>
      <w:r w:rsidR="00E16057" w:rsidRPr="00E13F47">
        <w:rPr>
          <w:rFonts w:ascii="Arial" w:eastAsia="Times New Roman" w:hAnsi="Arial" w:cs="Arial"/>
        </w:rPr>
        <w:t>9</w:t>
      </w:r>
      <w:r w:rsidRPr="00E13F47">
        <w:rPr>
          <w:rFonts w:ascii="Arial" w:eastAsia="Times New Roman" w:hAnsi="Arial" w:cs="Arial"/>
        </w:rPr>
        <w:t>.</w:t>
      </w:r>
      <w:r w:rsidR="0096659E" w:rsidRPr="00E13F47">
        <w:rPr>
          <w:rFonts w:ascii="Arial" w:eastAsia="Times New Roman" w:hAnsi="Arial" w:cs="Arial"/>
        </w:rPr>
        <w:t xml:space="preserve">  </w:t>
      </w:r>
      <w:r w:rsidR="00AF6EEA">
        <w:rPr>
          <w:rFonts w:ascii="Arial" w:eastAsia="Times New Roman" w:hAnsi="Arial" w:cs="Arial"/>
        </w:rPr>
        <w:t>OPD uses a matrix for each type of violation and considers aggravating and mitigating factors in coming up with the appropriate discipline.</w:t>
      </w:r>
    </w:p>
    <w:p w14:paraId="3D230EC6" w14:textId="47A29C3F" w:rsidR="00B76DB7" w:rsidRPr="00762CC1" w:rsidRDefault="00B76DB7" w:rsidP="00B76DB7">
      <w:pPr>
        <w:spacing w:after="200"/>
        <w:jc w:val="center"/>
        <w:rPr>
          <w:rFonts w:ascii="Arial" w:eastAsia="Times New Roman" w:hAnsi="Arial" w:cs="Arial"/>
          <w:b/>
          <w:u w:val="single"/>
        </w:rPr>
      </w:pPr>
      <w:r w:rsidRPr="00762CC1">
        <w:rPr>
          <w:rFonts w:ascii="Arial" w:eastAsia="Times New Roman" w:hAnsi="Arial" w:cs="Arial"/>
          <w:b/>
          <w:u w:val="single"/>
        </w:rPr>
        <w:t>Trend in Sustained Cases</w:t>
      </w:r>
    </w:p>
    <w:p w14:paraId="4450FC6C" w14:textId="0BEC3076" w:rsidR="00B76DB7" w:rsidRDefault="00724B30" w:rsidP="00762CC1">
      <w:pPr>
        <w:spacing w:after="200"/>
        <w:rPr>
          <w:rFonts w:ascii="Arial" w:eastAsia="Times New Roman" w:hAnsi="Arial" w:cs="Arial"/>
        </w:rPr>
      </w:pPr>
      <w:r>
        <w:rPr>
          <w:noProof/>
        </w:rPr>
        <w:drawing>
          <wp:inline distT="0" distB="0" distL="0" distR="0" wp14:anchorId="3C0718C7" wp14:editId="26D0A63F">
            <wp:extent cx="6341110" cy="3390900"/>
            <wp:effectExtent l="0" t="0" r="2540" b="0"/>
            <wp:docPr id="23" name="Chart 23">
              <a:extLst xmlns:a="http://schemas.openxmlformats.org/drawingml/2006/main">
                <a:ext uri="{FF2B5EF4-FFF2-40B4-BE49-F238E27FC236}">
                  <a16:creationId xmlns:a16="http://schemas.microsoft.com/office/drawing/2014/main" id="{FEAB1B40-366B-4235-A57D-78485B4747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0BE7B2" w14:textId="32A793C8" w:rsidR="00724B30" w:rsidRPr="00E13F47" w:rsidRDefault="00724B30" w:rsidP="00762CC1">
      <w:pPr>
        <w:spacing w:after="200"/>
        <w:rPr>
          <w:rFonts w:ascii="Arial" w:eastAsia="Times New Roman" w:hAnsi="Arial" w:cs="Arial"/>
        </w:rPr>
      </w:pPr>
      <w:r>
        <w:rPr>
          <w:rFonts w:ascii="Arial" w:eastAsia="Times New Roman" w:hAnsi="Arial" w:cs="Arial"/>
        </w:rPr>
        <w:t xml:space="preserve">Beginning in 2018, there has been an increase in sustained findings and discipline imposed.  </w:t>
      </w:r>
    </w:p>
    <w:p w14:paraId="3AE56C06" w14:textId="54B32565" w:rsidR="005E7D15" w:rsidRDefault="00E670E3" w:rsidP="00F262D1">
      <w:pPr>
        <w:shd w:val="clear" w:color="auto" w:fill="FFFFFF"/>
        <w:jc w:val="both"/>
        <w:rPr>
          <w:rFonts w:ascii="Arial" w:eastAsia="Times New Roman" w:hAnsi="Arial" w:cs="Arial"/>
          <w:b/>
          <w:u w:val="single"/>
        </w:rPr>
      </w:pPr>
      <w:r>
        <w:rPr>
          <w:rFonts w:ascii="Arial" w:eastAsia="Times New Roman" w:hAnsi="Arial" w:cs="Arial"/>
          <w:b/>
          <w:u w:val="single"/>
        </w:rPr>
        <w:lastRenderedPageBreak/>
        <w:t xml:space="preserve">Complaint </w:t>
      </w:r>
      <w:r w:rsidR="00173A29">
        <w:rPr>
          <w:rFonts w:ascii="Arial" w:eastAsia="Times New Roman" w:hAnsi="Arial" w:cs="Arial"/>
          <w:b/>
          <w:u w:val="single"/>
        </w:rPr>
        <w:t>Policy and Training Recommendations</w:t>
      </w:r>
    </w:p>
    <w:p w14:paraId="2B0F61C8" w14:textId="77777777" w:rsidR="00173A29" w:rsidRPr="00E13F47" w:rsidRDefault="00173A29" w:rsidP="00F262D1">
      <w:pPr>
        <w:shd w:val="clear" w:color="auto" w:fill="FFFFFF"/>
        <w:jc w:val="both"/>
        <w:rPr>
          <w:rFonts w:ascii="Arial" w:eastAsia="Times New Roman" w:hAnsi="Arial" w:cs="Arial"/>
          <w:b/>
          <w:u w:val="single"/>
        </w:rPr>
      </w:pPr>
    </w:p>
    <w:p w14:paraId="0E6DF8BA" w14:textId="77777777" w:rsidR="004E0460" w:rsidRPr="00E13F47" w:rsidRDefault="004E0460" w:rsidP="00F262D1">
      <w:pPr>
        <w:spacing w:after="200"/>
        <w:jc w:val="both"/>
        <w:rPr>
          <w:rFonts w:ascii="Arial" w:hAnsi="Arial" w:cs="Arial"/>
        </w:rPr>
      </w:pPr>
      <w:r w:rsidRPr="00E13F47">
        <w:rPr>
          <w:rFonts w:ascii="Arial" w:hAnsi="Arial" w:cs="Arial"/>
        </w:rPr>
        <w:t xml:space="preserve">In April of 2016, OPD began formally tracking all policy and training recommendations that resulted from Internal Affairs investigations. </w:t>
      </w:r>
      <w:r w:rsidR="0009430E" w:rsidRPr="00E13F47">
        <w:rPr>
          <w:rFonts w:ascii="Arial" w:hAnsi="Arial" w:cs="Arial"/>
        </w:rPr>
        <w:t xml:space="preserve">If a recommendation is urgent, it is addressed through an immediate policy change or training implementation. If not urgent, the recommendation may be included in the next regular policy rewrite or regular training. </w:t>
      </w:r>
      <w:r w:rsidRPr="00E13F47">
        <w:rPr>
          <w:rFonts w:ascii="Arial" w:hAnsi="Arial" w:cs="Arial"/>
        </w:rPr>
        <w:t xml:space="preserve">For </w:t>
      </w:r>
      <w:r w:rsidR="00B20581" w:rsidRPr="00E13F47">
        <w:rPr>
          <w:rFonts w:ascii="Arial" w:hAnsi="Arial" w:cs="Arial"/>
        </w:rPr>
        <w:t xml:space="preserve">the </w:t>
      </w:r>
      <w:r w:rsidR="00E83336" w:rsidRPr="00E13F47">
        <w:rPr>
          <w:rFonts w:ascii="Arial" w:hAnsi="Arial" w:cs="Arial"/>
        </w:rPr>
        <w:t>first half of 201</w:t>
      </w:r>
      <w:r w:rsidR="00E16057" w:rsidRPr="00E13F47">
        <w:rPr>
          <w:rFonts w:ascii="Arial" w:hAnsi="Arial" w:cs="Arial"/>
        </w:rPr>
        <w:t>9</w:t>
      </w:r>
      <w:r w:rsidRPr="00E13F47">
        <w:rPr>
          <w:rFonts w:ascii="Arial" w:hAnsi="Arial" w:cs="Arial"/>
        </w:rPr>
        <w:t>, these recommendations included:</w:t>
      </w:r>
    </w:p>
    <w:p w14:paraId="2BEBA32E" w14:textId="561BE0D2" w:rsidR="00302B77" w:rsidRPr="00E13F47" w:rsidRDefault="009A0EE7" w:rsidP="00F262D1">
      <w:pPr>
        <w:pStyle w:val="ListParagraph"/>
        <w:numPr>
          <w:ilvl w:val="0"/>
          <w:numId w:val="40"/>
        </w:numPr>
        <w:spacing w:after="200"/>
        <w:ind w:left="720"/>
        <w:jc w:val="both"/>
        <w:rPr>
          <w:rFonts w:ascii="Arial" w:hAnsi="Arial" w:cs="Arial"/>
        </w:rPr>
      </w:pPr>
      <w:r>
        <w:rPr>
          <w:rFonts w:ascii="Arial" w:hAnsi="Arial" w:cs="Arial"/>
        </w:rPr>
        <w:t>Have</w:t>
      </w:r>
      <w:r w:rsidR="00302B77" w:rsidRPr="00E13F47">
        <w:rPr>
          <w:rFonts w:ascii="Arial" w:hAnsi="Arial" w:cs="Arial"/>
        </w:rPr>
        <w:t xml:space="preserve"> OPD host interview and interrogation training</w:t>
      </w:r>
      <w:r w:rsidR="00822353" w:rsidRPr="00E13F47">
        <w:rPr>
          <w:rFonts w:ascii="Arial" w:hAnsi="Arial" w:cs="Arial"/>
        </w:rPr>
        <w:t>.</w:t>
      </w:r>
    </w:p>
    <w:p w14:paraId="09DFEA9D" w14:textId="77777777" w:rsidR="00302B77" w:rsidRPr="00E13F47" w:rsidRDefault="00E16057" w:rsidP="00F262D1">
      <w:pPr>
        <w:pStyle w:val="ListParagraph"/>
        <w:numPr>
          <w:ilvl w:val="0"/>
          <w:numId w:val="40"/>
        </w:numPr>
        <w:spacing w:after="200"/>
        <w:ind w:left="720"/>
        <w:jc w:val="both"/>
        <w:rPr>
          <w:rFonts w:ascii="Arial" w:hAnsi="Arial" w:cs="Arial"/>
        </w:rPr>
      </w:pPr>
      <w:r w:rsidRPr="00E13F47">
        <w:rPr>
          <w:rFonts w:ascii="Arial" w:hAnsi="Arial" w:cs="Arial"/>
        </w:rPr>
        <w:t>Continue to u</w:t>
      </w:r>
      <w:r w:rsidR="00302B77" w:rsidRPr="00E13F47">
        <w:rPr>
          <w:rFonts w:ascii="Arial" w:hAnsi="Arial" w:cs="Arial"/>
        </w:rPr>
        <w:t>pdate policy to emphasize the recognition of additional factors that may necessitate the use of force beyond the three most identifiable Graham factors</w:t>
      </w:r>
      <w:r w:rsidR="00822353" w:rsidRPr="00E13F47">
        <w:rPr>
          <w:rFonts w:ascii="Arial" w:hAnsi="Arial" w:cs="Arial"/>
        </w:rPr>
        <w:t>.</w:t>
      </w:r>
    </w:p>
    <w:p w14:paraId="6E3846C6" w14:textId="14F763FE" w:rsidR="00302B77" w:rsidRPr="00E13F47" w:rsidRDefault="00E16057" w:rsidP="00F262D1">
      <w:pPr>
        <w:pStyle w:val="ListParagraph"/>
        <w:numPr>
          <w:ilvl w:val="0"/>
          <w:numId w:val="40"/>
        </w:numPr>
        <w:spacing w:after="200"/>
        <w:ind w:left="720"/>
        <w:jc w:val="both"/>
        <w:rPr>
          <w:rFonts w:ascii="Arial" w:hAnsi="Arial" w:cs="Arial"/>
        </w:rPr>
      </w:pPr>
      <w:r w:rsidRPr="00E13F47">
        <w:rPr>
          <w:rFonts w:ascii="Arial" w:hAnsi="Arial" w:cs="Arial"/>
        </w:rPr>
        <w:t>Continue to i</w:t>
      </w:r>
      <w:r w:rsidR="00302B77" w:rsidRPr="00E13F47">
        <w:rPr>
          <w:rFonts w:ascii="Arial" w:hAnsi="Arial" w:cs="Arial"/>
        </w:rPr>
        <w:t>ssue information bulletin</w:t>
      </w:r>
      <w:r w:rsidRPr="00E13F47">
        <w:rPr>
          <w:rFonts w:ascii="Arial" w:hAnsi="Arial" w:cs="Arial"/>
        </w:rPr>
        <w:t xml:space="preserve">s to </w:t>
      </w:r>
      <w:r w:rsidR="00302B77" w:rsidRPr="00E13F47">
        <w:rPr>
          <w:rFonts w:ascii="Arial" w:hAnsi="Arial" w:cs="Arial"/>
        </w:rPr>
        <w:t>remind commanders and supervisors of the roles and responsibilities during critical incidents</w:t>
      </w:r>
      <w:r w:rsidR="00822353" w:rsidRPr="00E13F47">
        <w:rPr>
          <w:rFonts w:ascii="Arial" w:hAnsi="Arial" w:cs="Arial"/>
        </w:rPr>
        <w:t>.</w:t>
      </w:r>
    </w:p>
    <w:p w14:paraId="00000D8C" w14:textId="7450B63D" w:rsidR="00E16057" w:rsidRPr="00E13F47" w:rsidRDefault="00E16057" w:rsidP="00F262D1">
      <w:pPr>
        <w:pStyle w:val="ListParagraph"/>
        <w:numPr>
          <w:ilvl w:val="0"/>
          <w:numId w:val="40"/>
        </w:numPr>
        <w:spacing w:after="200"/>
        <w:ind w:left="720"/>
        <w:jc w:val="both"/>
        <w:rPr>
          <w:rFonts w:ascii="Arial" w:hAnsi="Arial" w:cs="Arial"/>
        </w:rPr>
      </w:pPr>
      <w:r w:rsidRPr="00E13F47">
        <w:rPr>
          <w:rFonts w:ascii="Arial" w:hAnsi="Arial" w:cs="Arial"/>
        </w:rPr>
        <w:t xml:space="preserve">Begin the </w:t>
      </w:r>
      <w:r w:rsidR="00693454" w:rsidRPr="00E13F47">
        <w:rPr>
          <w:rFonts w:ascii="Arial" w:hAnsi="Arial" w:cs="Arial"/>
        </w:rPr>
        <w:t>OPD</w:t>
      </w:r>
      <w:r w:rsidRPr="00E13F47">
        <w:rPr>
          <w:rFonts w:ascii="Arial" w:hAnsi="Arial" w:cs="Arial"/>
        </w:rPr>
        <w:t xml:space="preserve"> Race and Equity </w:t>
      </w:r>
      <w:r w:rsidR="00693454" w:rsidRPr="00E13F47">
        <w:rPr>
          <w:rFonts w:ascii="Arial" w:hAnsi="Arial" w:cs="Arial"/>
        </w:rPr>
        <w:t xml:space="preserve">Academy </w:t>
      </w:r>
      <w:r w:rsidRPr="00E13F47">
        <w:rPr>
          <w:rFonts w:ascii="Arial" w:hAnsi="Arial" w:cs="Arial"/>
        </w:rPr>
        <w:t xml:space="preserve">training. OPD staff members at all levels, both sworn and non-sworn, will </w:t>
      </w:r>
      <w:r w:rsidR="00693454" w:rsidRPr="00E13F47">
        <w:rPr>
          <w:rFonts w:ascii="Arial" w:hAnsi="Arial" w:cs="Arial"/>
        </w:rPr>
        <w:t xml:space="preserve">participate in </w:t>
      </w:r>
      <w:r w:rsidRPr="00E13F47">
        <w:rPr>
          <w:rFonts w:ascii="Arial" w:hAnsi="Arial" w:cs="Arial"/>
        </w:rPr>
        <w:t>Race and Equity</w:t>
      </w:r>
      <w:r w:rsidR="00693454" w:rsidRPr="00E13F47">
        <w:rPr>
          <w:rFonts w:ascii="Arial" w:hAnsi="Arial" w:cs="Arial"/>
        </w:rPr>
        <w:t xml:space="preserve"> Academy</w:t>
      </w:r>
      <w:r w:rsidRPr="00E13F47">
        <w:rPr>
          <w:rFonts w:ascii="Arial" w:hAnsi="Arial" w:cs="Arial"/>
        </w:rPr>
        <w:t xml:space="preserve"> training workshops provided by the City of Oakland’s Director of Race and Equity</w:t>
      </w:r>
      <w:r w:rsidR="00693454" w:rsidRPr="00E13F47">
        <w:rPr>
          <w:rFonts w:ascii="Arial" w:hAnsi="Arial" w:cs="Arial"/>
        </w:rPr>
        <w:t xml:space="preserve"> and create equity teams within OPD.</w:t>
      </w:r>
    </w:p>
    <w:p w14:paraId="1D1471D4" w14:textId="77777777" w:rsidR="00302B77" w:rsidRPr="00E13F47" w:rsidRDefault="00E16057" w:rsidP="00F262D1">
      <w:pPr>
        <w:pStyle w:val="ListParagraph"/>
        <w:numPr>
          <w:ilvl w:val="0"/>
          <w:numId w:val="40"/>
        </w:numPr>
        <w:spacing w:after="200"/>
        <w:ind w:left="720"/>
        <w:jc w:val="both"/>
        <w:rPr>
          <w:rFonts w:ascii="Arial" w:hAnsi="Arial" w:cs="Arial"/>
        </w:rPr>
      </w:pPr>
      <w:r w:rsidRPr="00E13F47">
        <w:rPr>
          <w:rFonts w:ascii="Arial" w:hAnsi="Arial" w:cs="Arial"/>
        </w:rPr>
        <w:t>Continue to u</w:t>
      </w:r>
      <w:r w:rsidR="00302B77" w:rsidRPr="00E13F47">
        <w:rPr>
          <w:rFonts w:ascii="Arial" w:hAnsi="Arial" w:cs="Arial"/>
        </w:rPr>
        <w:t>pdate racial profiling policy to include contemporary definitions of racial and identity profiling</w:t>
      </w:r>
      <w:r w:rsidR="00822353" w:rsidRPr="00E13F47">
        <w:rPr>
          <w:rFonts w:ascii="Arial" w:hAnsi="Arial" w:cs="Arial"/>
        </w:rPr>
        <w:t>.</w:t>
      </w:r>
    </w:p>
    <w:p w14:paraId="345F8DD0" w14:textId="71C3CF94" w:rsidR="00302B77" w:rsidRDefault="00BA2D2E" w:rsidP="00F262D1">
      <w:pPr>
        <w:pStyle w:val="ListParagraph"/>
        <w:numPr>
          <w:ilvl w:val="0"/>
          <w:numId w:val="40"/>
        </w:numPr>
        <w:spacing w:after="200"/>
        <w:ind w:left="720"/>
        <w:jc w:val="both"/>
        <w:rPr>
          <w:rFonts w:ascii="Arial" w:hAnsi="Arial" w:cs="Arial"/>
        </w:rPr>
      </w:pPr>
      <w:r w:rsidRPr="00E13F47">
        <w:rPr>
          <w:rFonts w:ascii="Arial" w:hAnsi="Arial" w:cs="Arial"/>
        </w:rPr>
        <w:t>Continue to develop p</w:t>
      </w:r>
      <w:r w:rsidR="00302B77" w:rsidRPr="00E13F47">
        <w:rPr>
          <w:rFonts w:ascii="Arial" w:hAnsi="Arial" w:cs="Arial"/>
        </w:rPr>
        <w:t xml:space="preserve">olicy </w:t>
      </w:r>
      <w:r w:rsidRPr="00E13F47">
        <w:rPr>
          <w:rFonts w:ascii="Arial" w:hAnsi="Arial" w:cs="Arial"/>
        </w:rPr>
        <w:t xml:space="preserve">to </w:t>
      </w:r>
      <w:r w:rsidR="00302B77" w:rsidRPr="00E13F47">
        <w:rPr>
          <w:rFonts w:ascii="Arial" w:hAnsi="Arial" w:cs="Arial"/>
        </w:rPr>
        <w:t>reflect evolving standards of reportable uses of force</w:t>
      </w:r>
      <w:r w:rsidR="00822353" w:rsidRPr="00E13F47">
        <w:rPr>
          <w:rFonts w:ascii="Arial" w:hAnsi="Arial" w:cs="Arial"/>
        </w:rPr>
        <w:t>.</w:t>
      </w:r>
    </w:p>
    <w:p w14:paraId="7FFF4577" w14:textId="77777777" w:rsidR="00724B30" w:rsidRPr="00724B30" w:rsidRDefault="00724B30" w:rsidP="00724B30">
      <w:pPr>
        <w:spacing w:after="200"/>
        <w:jc w:val="both"/>
        <w:rPr>
          <w:rFonts w:ascii="Arial" w:hAnsi="Arial" w:cs="Arial"/>
        </w:rPr>
      </w:pPr>
    </w:p>
    <w:p w14:paraId="0F92D97C" w14:textId="3A6CFD22" w:rsidR="00A3645D" w:rsidRPr="00A87A8D" w:rsidDel="009E1173" w:rsidRDefault="00A3645D" w:rsidP="00A87A8D">
      <w:pPr>
        <w:spacing w:after="200" w:line="276" w:lineRule="auto"/>
        <w:jc w:val="both"/>
        <w:rPr>
          <w:rFonts w:ascii="Arial" w:eastAsia="Times New Roman" w:hAnsi="Arial" w:cs="Arial"/>
          <w:b/>
          <w:u w:val="single"/>
        </w:rPr>
      </w:pPr>
      <w:r w:rsidRPr="00A87A8D">
        <w:rPr>
          <w:rFonts w:ascii="Arial" w:hAnsi="Arial" w:cs="Arial"/>
          <w:b/>
          <w:u w:val="single"/>
        </w:rPr>
        <w:t>USES OF FORCE</w:t>
      </w:r>
    </w:p>
    <w:p w14:paraId="5825D365" w14:textId="5C76B527" w:rsidR="00A3645D" w:rsidRDefault="00A3645D" w:rsidP="00906C31">
      <w:pPr>
        <w:spacing w:beforeLines="1" w:before="2" w:afterLines="1" w:after="2"/>
        <w:jc w:val="both"/>
        <w:rPr>
          <w:rFonts w:ascii="Arial" w:hAnsi="Arial" w:cs="Arial"/>
          <w:bCs/>
        </w:rPr>
      </w:pPr>
      <w:r w:rsidRPr="002B021E">
        <w:rPr>
          <w:rFonts w:ascii="Arial" w:hAnsi="Arial" w:cs="Arial"/>
          <w:bCs/>
        </w:rPr>
        <w:t xml:space="preserve">OPD </w:t>
      </w:r>
      <w:r w:rsidR="00EC702D">
        <w:rPr>
          <w:rFonts w:ascii="Arial" w:hAnsi="Arial" w:cs="Arial"/>
          <w:bCs/>
        </w:rPr>
        <w:t>categorizes</w:t>
      </w:r>
      <w:r w:rsidRPr="002B021E">
        <w:rPr>
          <w:rFonts w:ascii="Arial" w:hAnsi="Arial" w:cs="Arial"/>
          <w:bCs/>
        </w:rPr>
        <w:t xml:space="preserve"> use of force in four levels: </w:t>
      </w:r>
    </w:p>
    <w:p w14:paraId="24092B7A" w14:textId="77777777" w:rsidR="00312DE1" w:rsidRPr="002B021E" w:rsidRDefault="00312DE1" w:rsidP="00906C31">
      <w:pPr>
        <w:spacing w:beforeLines="1" w:before="2" w:afterLines="1" w:after="2"/>
        <w:jc w:val="both"/>
        <w:rPr>
          <w:rFonts w:ascii="Arial" w:hAnsi="Arial" w:cs="Arial"/>
          <w:bCs/>
        </w:rPr>
      </w:pPr>
    </w:p>
    <w:p w14:paraId="15E00261" w14:textId="156CCB0E" w:rsidR="00D01C82" w:rsidRPr="008C4B86" w:rsidRDefault="00C153BF" w:rsidP="00906C31">
      <w:pPr>
        <w:spacing w:beforeLines="1" w:before="2" w:afterLines="1" w:after="2"/>
        <w:jc w:val="both"/>
        <w:rPr>
          <w:rFonts w:ascii="Arial" w:hAnsi="Arial" w:cs="Arial"/>
          <w:bCs/>
        </w:rPr>
      </w:pPr>
      <w:r w:rsidRPr="00C153BF">
        <w:rPr>
          <w:rFonts w:ascii="Arial" w:hAnsi="Arial" w:cs="Arial"/>
          <w:bCs/>
          <w:u w:val="single"/>
        </w:rPr>
        <w:t>Level 4:</w:t>
      </w:r>
      <w:r w:rsidR="008C4B86">
        <w:rPr>
          <w:rFonts w:ascii="Arial" w:hAnsi="Arial" w:cs="Arial"/>
          <w:bCs/>
        </w:rPr>
        <w:t xml:space="preserve"> (most common</w:t>
      </w:r>
      <w:r w:rsidR="00724B30">
        <w:rPr>
          <w:rFonts w:ascii="Arial" w:hAnsi="Arial" w:cs="Arial"/>
          <w:bCs/>
        </w:rPr>
        <w:t xml:space="preserve"> – lowest level of force</w:t>
      </w:r>
      <w:r w:rsidR="008C4B86">
        <w:rPr>
          <w:rFonts w:ascii="Arial" w:hAnsi="Arial" w:cs="Arial"/>
          <w:bCs/>
        </w:rPr>
        <w:t>)</w:t>
      </w:r>
    </w:p>
    <w:p w14:paraId="2E4B7542" w14:textId="77777777" w:rsidR="00C153BF" w:rsidRPr="00C153BF" w:rsidRDefault="00C153BF" w:rsidP="00906C31">
      <w:pPr>
        <w:pStyle w:val="ListParagraph"/>
        <w:numPr>
          <w:ilvl w:val="0"/>
          <w:numId w:val="43"/>
        </w:numPr>
        <w:spacing w:beforeLines="1" w:before="2" w:afterLines="1" w:after="2"/>
        <w:jc w:val="both"/>
        <w:rPr>
          <w:rFonts w:ascii="Arial" w:hAnsi="Arial" w:cs="Arial"/>
          <w:bCs/>
        </w:rPr>
      </w:pPr>
      <w:r w:rsidRPr="00C153BF">
        <w:rPr>
          <w:rFonts w:ascii="Arial" w:hAnsi="Arial" w:cs="Arial"/>
          <w:bCs/>
        </w:rPr>
        <w:t>A firearm intentionally pointed at a person</w:t>
      </w:r>
    </w:p>
    <w:p w14:paraId="6940B875" w14:textId="02205AE3" w:rsidR="00C153BF" w:rsidRPr="00C153BF" w:rsidRDefault="00C153BF" w:rsidP="00906C31">
      <w:pPr>
        <w:pStyle w:val="ListParagraph"/>
        <w:numPr>
          <w:ilvl w:val="0"/>
          <w:numId w:val="43"/>
        </w:numPr>
        <w:spacing w:beforeLines="1" w:before="2" w:afterLines="1" w:after="2"/>
        <w:jc w:val="both"/>
        <w:rPr>
          <w:rFonts w:ascii="Arial" w:hAnsi="Arial" w:cs="Arial"/>
          <w:bCs/>
        </w:rPr>
      </w:pPr>
      <w:r w:rsidRPr="00C153BF">
        <w:rPr>
          <w:rFonts w:ascii="Arial" w:hAnsi="Arial" w:cs="Arial"/>
          <w:bCs/>
        </w:rPr>
        <w:t>An on-duty firearm discharge to dispatch an injured animal</w:t>
      </w:r>
    </w:p>
    <w:p w14:paraId="27993497" w14:textId="77777777" w:rsidR="00C153BF" w:rsidRPr="00C153BF" w:rsidRDefault="00C153BF" w:rsidP="00906C31">
      <w:pPr>
        <w:pStyle w:val="ListParagraph"/>
        <w:numPr>
          <w:ilvl w:val="0"/>
          <w:numId w:val="43"/>
        </w:numPr>
        <w:spacing w:beforeLines="1" w:before="2" w:afterLines="1" w:after="2"/>
        <w:jc w:val="both"/>
        <w:rPr>
          <w:rFonts w:ascii="Arial" w:hAnsi="Arial" w:cs="Arial"/>
          <w:bCs/>
        </w:rPr>
      </w:pPr>
      <w:r w:rsidRPr="00C153BF">
        <w:rPr>
          <w:rFonts w:ascii="Arial" w:hAnsi="Arial" w:cs="Arial"/>
          <w:bCs/>
        </w:rPr>
        <w:t>A Weaponless Defense Technique: hair grab, pressure to mastoid or jaw line, shoulder muscle grab</w:t>
      </w:r>
      <w:r w:rsidRPr="00C153BF">
        <w:rPr>
          <w:rFonts w:ascii="Arial" w:hAnsi="Arial" w:cs="Arial"/>
          <w:bCs/>
        </w:rPr>
        <w:tab/>
      </w:r>
    </w:p>
    <w:p w14:paraId="41F76930" w14:textId="10CBBD0B" w:rsidR="00C153BF" w:rsidRDefault="00C153BF" w:rsidP="00906C31">
      <w:pPr>
        <w:pStyle w:val="ListParagraph"/>
        <w:numPr>
          <w:ilvl w:val="0"/>
          <w:numId w:val="43"/>
        </w:numPr>
        <w:spacing w:beforeLines="1" w:before="2" w:afterLines="1" w:after="2"/>
        <w:jc w:val="both"/>
        <w:rPr>
          <w:rFonts w:ascii="Arial" w:hAnsi="Arial" w:cs="Arial"/>
          <w:bCs/>
        </w:rPr>
      </w:pPr>
      <w:r w:rsidRPr="00C153BF">
        <w:rPr>
          <w:rFonts w:ascii="Arial" w:hAnsi="Arial" w:cs="Arial"/>
          <w:bCs/>
        </w:rPr>
        <w:t>A Weaponless Defense Technique Control Hold: escort (elbow), twist lock, arm-bar, bent-wrist</w:t>
      </w:r>
    </w:p>
    <w:p w14:paraId="73200B89" w14:textId="73DAEA6C" w:rsidR="00554642" w:rsidRPr="00554642" w:rsidRDefault="00554642" w:rsidP="00906C31">
      <w:pPr>
        <w:spacing w:beforeLines="1" w:before="2" w:afterLines="1" w:after="2"/>
        <w:jc w:val="both"/>
        <w:rPr>
          <w:rFonts w:ascii="Arial" w:hAnsi="Arial" w:cs="Arial"/>
          <w:bCs/>
          <w:u w:val="single"/>
        </w:rPr>
      </w:pPr>
      <w:r w:rsidRPr="00554642">
        <w:rPr>
          <w:rFonts w:ascii="Arial" w:hAnsi="Arial" w:cs="Arial"/>
          <w:bCs/>
          <w:u w:val="single"/>
        </w:rPr>
        <w:t>Level 3:</w:t>
      </w:r>
    </w:p>
    <w:p w14:paraId="29096227" w14:textId="28A118CE" w:rsidR="00554642" w:rsidRPr="00554642" w:rsidRDefault="00554642" w:rsidP="00906C31">
      <w:pPr>
        <w:pStyle w:val="ListParagraph"/>
        <w:numPr>
          <w:ilvl w:val="0"/>
          <w:numId w:val="44"/>
        </w:numPr>
        <w:spacing w:beforeLines="1" w:before="2" w:afterLines="1" w:after="2"/>
        <w:jc w:val="both"/>
        <w:rPr>
          <w:rFonts w:ascii="Arial" w:hAnsi="Arial" w:cs="Arial"/>
          <w:bCs/>
        </w:rPr>
      </w:pPr>
      <w:r w:rsidRPr="00554642">
        <w:rPr>
          <w:rFonts w:ascii="Arial" w:hAnsi="Arial" w:cs="Arial"/>
          <w:bCs/>
        </w:rPr>
        <w:t>Oleoresin Capsicum/Pepper Spray applied to a perso</w:t>
      </w:r>
      <w:r w:rsidR="002F5795">
        <w:rPr>
          <w:rFonts w:ascii="Arial" w:hAnsi="Arial" w:cs="Arial"/>
          <w:bCs/>
        </w:rPr>
        <w:t>n</w:t>
      </w:r>
    </w:p>
    <w:p w14:paraId="6ABE183C" w14:textId="3818C34E" w:rsidR="00554642" w:rsidRPr="00554642" w:rsidRDefault="00554642" w:rsidP="00906C31">
      <w:pPr>
        <w:pStyle w:val="ListParagraph"/>
        <w:numPr>
          <w:ilvl w:val="0"/>
          <w:numId w:val="44"/>
        </w:numPr>
        <w:spacing w:beforeLines="1" w:before="2" w:afterLines="1" w:after="2"/>
        <w:jc w:val="both"/>
        <w:rPr>
          <w:rFonts w:ascii="Arial" w:hAnsi="Arial" w:cs="Arial"/>
          <w:bCs/>
        </w:rPr>
      </w:pPr>
      <w:r w:rsidRPr="00554642">
        <w:rPr>
          <w:rFonts w:ascii="Arial" w:hAnsi="Arial" w:cs="Arial"/>
          <w:bCs/>
        </w:rPr>
        <w:t>The baton used for a non-striking purpose</w:t>
      </w:r>
    </w:p>
    <w:p w14:paraId="761672C8" w14:textId="77777777" w:rsidR="00554642" w:rsidRPr="00554642" w:rsidRDefault="00554642" w:rsidP="00906C31">
      <w:pPr>
        <w:pStyle w:val="ListParagraph"/>
        <w:numPr>
          <w:ilvl w:val="0"/>
          <w:numId w:val="44"/>
        </w:numPr>
        <w:spacing w:beforeLines="1" w:before="2" w:afterLines="1" w:after="2"/>
        <w:jc w:val="both"/>
        <w:rPr>
          <w:rFonts w:ascii="Arial" w:hAnsi="Arial" w:cs="Arial"/>
          <w:bCs/>
        </w:rPr>
      </w:pPr>
      <w:r w:rsidRPr="00554642">
        <w:rPr>
          <w:rFonts w:ascii="Arial" w:hAnsi="Arial" w:cs="Arial"/>
          <w:bCs/>
        </w:rPr>
        <w:t>The use of a Taser</w:t>
      </w:r>
      <w:r w:rsidRPr="00554642">
        <w:rPr>
          <w:rFonts w:ascii="Arial" w:hAnsi="Arial" w:cs="Arial"/>
          <w:bCs/>
        </w:rPr>
        <w:tab/>
      </w:r>
    </w:p>
    <w:p w14:paraId="19B4A511" w14:textId="68072B56" w:rsidR="00554642" w:rsidRPr="00554642" w:rsidRDefault="00554642" w:rsidP="00906C31">
      <w:pPr>
        <w:pStyle w:val="ListParagraph"/>
        <w:numPr>
          <w:ilvl w:val="0"/>
          <w:numId w:val="44"/>
        </w:numPr>
        <w:spacing w:beforeLines="1" w:before="2" w:afterLines="1" w:after="2"/>
        <w:jc w:val="both"/>
        <w:rPr>
          <w:rFonts w:ascii="Arial" w:hAnsi="Arial" w:cs="Arial"/>
          <w:bCs/>
        </w:rPr>
      </w:pPr>
      <w:r w:rsidRPr="00554642">
        <w:rPr>
          <w:rFonts w:ascii="Arial" w:hAnsi="Arial" w:cs="Arial"/>
          <w:bCs/>
        </w:rPr>
        <w:t>A Weaponless Defense Technique: hand/palm/elbow strikes, kicks, leg sweeps, takedowns</w:t>
      </w:r>
    </w:p>
    <w:p w14:paraId="3160AF4F" w14:textId="77777777" w:rsidR="00554642" w:rsidRPr="00554642" w:rsidRDefault="00554642" w:rsidP="00906C31">
      <w:pPr>
        <w:pStyle w:val="ListParagraph"/>
        <w:numPr>
          <w:ilvl w:val="0"/>
          <w:numId w:val="44"/>
        </w:numPr>
        <w:spacing w:beforeLines="1" w:before="2" w:afterLines="1" w:after="2"/>
        <w:jc w:val="both"/>
        <w:rPr>
          <w:rFonts w:ascii="Arial" w:hAnsi="Arial" w:cs="Arial"/>
          <w:bCs/>
        </w:rPr>
      </w:pPr>
      <w:r w:rsidRPr="00554642">
        <w:rPr>
          <w:rFonts w:ascii="Arial" w:hAnsi="Arial" w:cs="Arial"/>
          <w:bCs/>
        </w:rPr>
        <w:t>Any impact weapon w/o contact</w:t>
      </w:r>
      <w:r w:rsidRPr="00554642">
        <w:rPr>
          <w:rFonts w:ascii="Arial" w:hAnsi="Arial" w:cs="Arial"/>
          <w:bCs/>
        </w:rPr>
        <w:tab/>
      </w:r>
    </w:p>
    <w:p w14:paraId="30601E08" w14:textId="563E5C1D" w:rsidR="00554642" w:rsidRPr="00554642" w:rsidRDefault="00554642" w:rsidP="00906C31">
      <w:pPr>
        <w:pStyle w:val="ListParagraph"/>
        <w:numPr>
          <w:ilvl w:val="0"/>
          <w:numId w:val="44"/>
        </w:numPr>
        <w:spacing w:beforeLines="1" w:before="2" w:afterLines="1" w:after="2"/>
        <w:jc w:val="both"/>
        <w:rPr>
          <w:rFonts w:ascii="Arial" w:hAnsi="Arial" w:cs="Arial"/>
          <w:bCs/>
        </w:rPr>
      </w:pPr>
      <w:r w:rsidRPr="00554642">
        <w:rPr>
          <w:rFonts w:ascii="Arial" w:hAnsi="Arial" w:cs="Arial"/>
          <w:bCs/>
        </w:rPr>
        <w:t>An on-duty firearm discharge at an animal</w:t>
      </w:r>
    </w:p>
    <w:p w14:paraId="566575B4" w14:textId="455A08F0" w:rsidR="00554642" w:rsidRPr="00554642" w:rsidRDefault="00554642" w:rsidP="00906C31">
      <w:pPr>
        <w:spacing w:beforeLines="1" w:before="2" w:afterLines="1" w:after="2"/>
        <w:jc w:val="both"/>
        <w:rPr>
          <w:rFonts w:ascii="Arial" w:hAnsi="Arial" w:cs="Arial"/>
          <w:bCs/>
          <w:u w:val="single"/>
        </w:rPr>
      </w:pPr>
      <w:r w:rsidRPr="00554642">
        <w:rPr>
          <w:rFonts w:ascii="Arial" w:hAnsi="Arial" w:cs="Arial"/>
          <w:bCs/>
          <w:u w:val="single"/>
        </w:rPr>
        <w:t>Level 2:</w:t>
      </w:r>
    </w:p>
    <w:p w14:paraId="39D60545" w14:textId="77777777" w:rsidR="00554642" w:rsidRPr="00554642" w:rsidRDefault="00554642" w:rsidP="00906C31">
      <w:pPr>
        <w:pStyle w:val="ListParagraph"/>
        <w:numPr>
          <w:ilvl w:val="0"/>
          <w:numId w:val="45"/>
        </w:numPr>
        <w:spacing w:beforeLines="1" w:before="2" w:afterLines="1" w:after="2"/>
        <w:jc w:val="both"/>
        <w:rPr>
          <w:rFonts w:ascii="Arial" w:hAnsi="Arial" w:cs="Arial"/>
          <w:bCs/>
        </w:rPr>
      </w:pPr>
      <w:r w:rsidRPr="00554642">
        <w:rPr>
          <w:rFonts w:ascii="Arial" w:hAnsi="Arial" w:cs="Arial"/>
          <w:bCs/>
        </w:rPr>
        <w:t>Any strike to the head</w:t>
      </w:r>
      <w:r w:rsidRPr="00554642">
        <w:rPr>
          <w:rFonts w:ascii="Arial" w:hAnsi="Arial" w:cs="Arial"/>
          <w:bCs/>
        </w:rPr>
        <w:tab/>
        <w:t>Any unintentional firearm discharge w/o injury</w:t>
      </w:r>
    </w:p>
    <w:p w14:paraId="6B3D7668" w14:textId="77777777" w:rsidR="00554642" w:rsidRPr="00554642" w:rsidRDefault="00554642" w:rsidP="00906C31">
      <w:pPr>
        <w:pStyle w:val="ListParagraph"/>
        <w:numPr>
          <w:ilvl w:val="0"/>
          <w:numId w:val="45"/>
        </w:numPr>
        <w:spacing w:beforeLines="1" w:before="2" w:afterLines="1" w:after="2"/>
        <w:jc w:val="both"/>
        <w:rPr>
          <w:rFonts w:ascii="Arial" w:hAnsi="Arial" w:cs="Arial"/>
          <w:bCs/>
        </w:rPr>
      </w:pPr>
      <w:r w:rsidRPr="00554642">
        <w:rPr>
          <w:rFonts w:ascii="Arial" w:hAnsi="Arial" w:cs="Arial"/>
          <w:bCs/>
        </w:rPr>
        <w:t>Carotid restraint w/o the loss of consciousness</w:t>
      </w:r>
    </w:p>
    <w:p w14:paraId="62950773" w14:textId="48466BEE" w:rsidR="00554642" w:rsidRPr="00554642" w:rsidRDefault="002B021E" w:rsidP="00906C31">
      <w:pPr>
        <w:pStyle w:val="ListParagraph"/>
        <w:numPr>
          <w:ilvl w:val="0"/>
          <w:numId w:val="45"/>
        </w:numPr>
        <w:spacing w:beforeLines="1" w:before="2" w:afterLines="1" w:after="2"/>
        <w:jc w:val="both"/>
        <w:rPr>
          <w:rFonts w:ascii="Arial" w:hAnsi="Arial" w:cs="Arial"/>
          <w:bCs/>
        </w:rPr>
      </w:pPr>
      <w:r>
        <w:rPr>
          <w:rFonts w:ascii="Arial" w:hAnsi="Arial" w:cs="Arial"/>
          <w:bCs/>
        </w:rPr>
        <w:t>P</w:t>
      </w:r>
      <w:r w:rsidR="00554642" w:rsidRPr="00554642">
        <w:rPr>
          <w:rFonts w:ascii="Arial" w:hAnsi="Arial" w:cs="Arial"/>
          <w:bCs/>
        </w:rPr>
        <w:t>olice canine bite</w:t>
      </w:r>
    </w:p>
    <w:p w14:paraId="3A47E9BF" w14:textId="77777777" w:rsidR="00554642" w:rsidRPr="00554642" w:rsidRDefault="00554642" w:rsidP="00906C31">
      <w:pPr>
        <w:pStyle w:val="ListParagraph"/>
        <w:numPr>
          <w:ilvl w:val="0"/>
          <w:numId w:val="45"/>
        </w:numPr>
        <w:spacing w:beforeLines="1" w:before="2" w:afterLines="1" w:after="2"/>
        <w:jc w:val="both"/>
        <w:rPr>
          <w:rFonts w:ascii="Arial" w:hAnsi="Arial" w:cs="Arial"/>
          <w:bCs/>
        </w:rPr>
      </w:pPr>
      <w:r w:rsidRPr="00554642">
        <w:rPr>
          <w:rFonts w:ascii="Arial" w:hAnsi="Arial" w:cs="Arial"/>
          <w:bCs/>
        </w:rPr>
        <w:t>Use of impact weapons w/contact</w:t>
      </w:r>
    </w:p>
    <w:p w14:paraId="2A15B1AF" w14:textId="4F744355" w:rsidR="00554642" w:rsidRPr="00554642" w:rsidRDefault="00554642" w:rsidP="00906C31">
      <w:pPr>
        <w:pStyle w:val="ListParagraph"/>
        <w:numPr>
          <w:ilvl w:val="0"/>
          <w:numId w:val="45"/>
        </w:numPr>
        <w:spacing w:beforeLines="1" w:before="2" w:afterLines="1" w:after="2"/>
        <w:jc w:val="both"/>
        <w:rPr>
          <w:rFonts w:ascii="Arial" w:hAnsi="Arial" w:cs="Arial"/>
          <w:bCs/>
        </w:rPr>
      </w:pPr>
      <w:r w:rsidRPr="00554642">
        <w:rPr>
          <w:rFonts w:ascii="Arial" w:hAnsi="Arial" w:cs="Arial"/>
          <w:bCs/>
        </w:rPr>
        <w:t>Any use of force w/injury</w:t>
      </w:r>
    </w:p>
    <w:p w14:paraId="697314CF" w14:textId="61C12FDF" w:rsidR="00554642" w:rsidRDefault="00554642" w:rsidP="00906C31">
      <w:pPr>
        <w:spacing w:beforeLines="1" w:before="2" w:afterLines="1" w:after="2"/>
        <w:jc w:val="both"/>
        <w:rPr>
          <w:rFonts w:ascii="Arial" w:hAnsi="Arial" w:cs="Arial"/>
          <w:bCs/>
          <w:u w:val="single"/>
        </w:rPr>
      </w:pPr>
      <w:r w:rsidRPr="00554642">
        <w:rPr>
          <w:rFonts w:ascii="Arial" w:hAnsi="Arial" w:cs="Arial"/>
          <w:bCs/>
          <w:u w:val="single"/>
        </w:rPr>
        <w:t>Level 1:</w:t>
      </w:r>
    </w:p>
    <w:p w14:paraId="1F85FFC4" w14:textId="77777777" w:rsidR="008C4B86" w:rsidRDefault="00554642" w:rsidP="00906C31">
      <w:pPr>
        <w:pStyle w:val="ListParagraph"/>
        <w:numPr>
          <w:ilvl w:val="0"/>
          <w:numId w:val="46"/>
        </w:numPr>
        <w:spacing w:beforeLines="1" w:before="2" w:afterLines="1" w:after="2"/>
        <w:jc w:val="both"/>
        <w:rPr>
          <w:rFonts w:ascii="Arial" w:hAnsi="Arial" w:cs="Arial"/>
          <w:bCs/>
        </w:rPr>
      </w:pPr>
      <w:r w:rsidRPr="008C4B86">
        <w:rPr>
          <w:rFonts w:ascii="Arial" w:hAnsi="Arial" w:cs="Arial"/>
          <w:bCs/>
        </w:rPr>
        <w:t>Any use of force resulting in death</w:t>
      </w:r>
      <w:r w:rsidRPr="008C4B86">
        <w:rPr>
          <w:rFonts w:ascii="Arial" w:hAnsi="Arial" w:cs="Arial"/>
          <w:bCs/>
        </w:rPr>
        <w:tab/>
      </w:r>
    </w:p>
    <w:p w14:paraId="7017F04E" w14:textId="68A1BABE" w:rsidR="00554642" w:rsidRPr="008C4B86" w:rsidRDefault="00554642" w:rsidP="00906C31">
      <w:pPr>
        <w:pStyle w:val="ListParagraph"/>
        <w:numPr>
          <w:ilvl w:val="0"/>
          <w:numId w:val="46"/>
        </w:numPr>
        <w:spacing w:beforeLines="1" w:before="2" w:afterLines="1" w:after="2"/>
        <w:jc w:val="both"/>
        <w:rPr>
          <w:rFonts w:ascii="Arial" w:hAnsi="Arial" w:cs="Arial"/>
          <w:bCs/>
        </w:rPr>
      </w:pPr>
      <w:r w:rsidRPr="008C4B86">
        <w:rPr>
          <w:rFonts w:ascii="Arial" w:hAnsi="Arial" w:cs="Arial"/>
          <w:bCs/>
        </w:rPr>
        <w:t>Any unintentional firearm discharge w/injury</w:t>
      </w:r>
    </w:p>
    <w:p w14:paraId="268DE625" w14:textId="77777777" w:rsidR="008C4B86" w:rsidRDefault="00554642" w:rsidP="00906C31">
      <w:pPr>
        <w:pStyle w:val="ListParagraph"/>
        <w:numPr>
          <w:ilvl w:val="0"/>
          <w:numId w:val="46"/>
        </w:numPr>
        <w:spacing w:beforeLines="1" w:before="2" w:afterLines="1" w:after="2"/>
        <w:jc w:val="both"/>
        <w:rPr>
          <w:rFonts w:ascii="Arial" w:hAnsi="Arial" w:cs="Arial"/>
          <w:bCs/>
        </w:rPr>
      </w:pPr>
      <w:r w:rsidRPr="008C4B86">
        <w:rPr>
          <w:rFonts w:ascii="Arial" w:hAnsi="Arial" w:cs="Arial"/>
          <w:bCs/>
        </w:rPr>
        <w:t>Any intentional firearm discharge at a person</w:t>
      </w:r>
      <w:r w:rsidRPr="008C4B86">
        <w:rPr>
          <w:rFonts w:ascii="Arial" w:hAnsi="Arial" w:cs="Arial"/>
          <w:bCs/>
        </w:rPr>
        <w:tab/>
      </w:r>
    </w:p>
    <w:p w14:paraId="616AC2DD" w14:textId="72B1B587" w:rsidR="00554642" w:rsidRPr="008C4B86" w:rsidRDefault="00554642" w:rsidP="00906C31">
      <w:pPr>
        <w:pStyle w:val="ListParagraph"/>
        <w:numPr>
          <w:ilvl w:val="0"/>
          <w:numId w:val="46"/>
        </w:numPr>
        <w:spacing w:beforeLines="1" w:before="2" w:afterLines="1" w:after="2"/>
        <w:jc w:val="both"/>
        <w:rPr>
          <w:rFonts w:ascii="Arial" w:hAnsi="Arial" w:cs="Arial"/>
          <w:bCs/>
        </w:rPr>
      </w:pPr>
      <w:r w:rsidRPr="008C4B86">
        <w:rPr>
          <w:rFonts w:ascii="Arial" w:hAnsi="Arial" w:cs="Arial"/>
          <w:bCs/>
        </w:rPr>
        <w:t>Any intentional impact weapon strike to the head</w:t>
      </w:r>
    </w:p>
    <w:p w14:paraId="49671798" w14:textId="77777777" w:rsidR="008C4B86" w:rsidRDefault="00554642" w:rsidP="00906C31">
      <w:pPr>
        <w:pStyle w:val="ListParagraph"/>
        <w:numPr>
          <w:ilvl w:val="0"/>
          <w:numId w:val="46"/>
        </w:numPr>
        <w:spacing w:beforeLines="1" w:before="2" w:afterLines="1" w:after="2"/>
        <w:jc w:val="both"/>
        <w:rPr>
          <w:rFonts w:ascii="Arial" w:hAnsi="Arial" w:cs="Arial"/>
          <w:bCs/>
        </w:rPr>
      </w:pPr>
      <w:r w:rsidRPr="008C4B86">
        <w:rPr>
          <w:rFonts w:ascii="Arial" w:hAnsi="Arial" w:cs="Arial"/>
          <w:bCs/>
        </w:rPr>
        <w:t>Any force w/a substantial risk of causing death</w:t>
      </w:r>
      <w:r w:rsidRPr="008C4B86">
        <w:rPr>
          <w:rFonts w:ascii="Arial" w:hAnsi="Arial" w:cs="Arial"/>
          <w:bCs/>
        </w:rPr>
        <w:tab/>
      </w:r>
    </w:p>
    <w:p w14:paraId="57C29317" w14:textId="2CC2D4B6" w:rsidR="00554642" w:rsidRPr="008C4B86" w:rsidRDefault="00554642" w:rsidP="00906C31">
      <w:pPr>
        <w:pStyle w:val="ListParagraph"/>
        <w:numPr>
          <w:ilvl w:val="0"/>
          <w:numId w:val="46"/>
        </w:numPr>
        <w:spacing w:beforeLines="1" w:before="2" w:afterLines="1" w:after="2"/>
        <w:jc w:val="both"/>
        <w:rPr>
          <w:rFonts w:ascii="Arial" w:hAnsi="Arial" w:cs="Arial"/>
          <w:bCs/>
        </w:rPr>
      </w:pPr>
      <w:r w:rsidRPr="008C4B86">
        <w:rPr>
          <w:rFonts w:ascii="Arial" w:hAnsi="Arial" w:cs="Arial"/>
          <w:bCs/>
        </w:rPr>
        <w:t>Any UOF investigation that is elevated to a Level 1</w:t>
      </w:r>
    </w:p>
    <w:p w14:paraId="4B566257" w14:textId="102DCEB1" w:rsidR="00554642" w:rsidRPr="008C4B86" w:rsidRDefault="00554642" w:rsidP="00906C31">
      <w:pPr>
        <w:pStyle w:val="ListParagraph"/>
        <w:numPr>
          <w:ilvl w:val="0"/>
          <w:numId w:val="46"/>
        </w:numPr>
        <w:spacing w:beforeLines="1" w:before="2" w:afterLines="1" w:after="2"/>
        <w:jc w:val="both"/>
        <w:rPr>
          <w:rFonts w:ascii="Arial" w:hAnsi="Arial" w:cs="Arial"/>
          <w:bCs/>
        </w:rPr>
      </w:pPr>
      <w:r w:rsidRPr="008C4B86">
        <w:rPr>
          <w:rFonts w:ascii="Arial" w:hAnsi="Arial" w:cs="Arial"/>
          <w:bCs/>
        </w:rPr>
        <w:t>Serious bodily injuries</w:t>
      </w:r>
      <w:r w:rsidRPr="008C4B86">
        <w:rPr>
          <w:rFonts w:ascii="Arial" w:hAnsi="Arial" w:cs="Arial"/>
          <w:bCs/>
        </w:rPr>
        <w:tab/>
      </w:r>
    </w:p>
    <w:p w14:paraId="485F0DD4" w14:textId="77777777" w:rsidR="008C4B86" w:rsidRPr="00554642" w:rsidRDefault="008C4B86" w:rsidP="00906C31">
      <w:pPr>
        <w:spacing w:beforeLines="1" w:before="2" w:afterLines="1" w:after="2"/>
        <w:jc w:val="both"/>
        <w:rPr>
          <w:rFonts w:ascii="Arial" w:hAnsi="Arial" w:cs="Arial"/>
          <w:bCs/>
        </w:rPr>
      </w:pPr>
    </w:p>
    <w:p w14:paraId="7D0D17D8" w14:textId="4D576CB2" w:rsidR="00A3645D" w:rsidRDefault="00A3645D" w:rsidP="00906C31">
      <w:pPr>
        <w:pStyle w:val="NormalWeb"/>
        <w:spacing w:before="2" w:after="2"/>
        <w:jc w:val="both"/>
        <w:rPr>
          <w:rFonts w:ascii="Arial" w:hAnsi="Arial" w:cs="Arial"/>
          <w:sz w:val="22"/>
          <w:szCs w:val="22"/>
        </w:rPr>
      </w:pPr>
      <w:r w:rsidRPr="00B8446F">
        <w:rPr>
          <w:rFonts w:ascii="Arial" w:eastAsia="Times New Roman" w:hAnsi="Arial" w:cs="Arial"/>
          <w:sz w:val="22"/>
          <w:szCs w:val="22"/>
        </w:rPr>
        <w:t>T</w:t>
      </w:r>
      <w:r w:rsidRPr="00B8446F">
        <w:rPr>
          <w:rFonts w:ascii="Arial" w:hAnsi="Arial" w:cs="Arial"/>
          <w:sz w:val="22"/>
          <w:szCs w:val="22"/>
        </w:rPr>
        <w:t xml:space="preserve">he Oakland Police Department continues to </w:t>
      </w:r>
      <w:r w:rsidR="00164663" w:rsidRPr="00B8446F">
        <w:rPr>
          <w:rFonts w:ascii="Arial" w:hAnsi="Arial" w:cs="Arial"/>
          <w:sz w:val="22"/>
          <w:szCs w:val="22"/>
        </w:rPr>
        <w:t xml:space="preserve">make </w:t>
      </w:r>
      <w:r w:rsidRPr="00B8446F">
        <w:rPr>
          <w:rFonts w:ascii="Arial" w:hAnsi="Arial" w:cs="Arial"/>
          <w:sz w:val="22"/>
          <w:szCs w:val="22"/>
        </w:rPr>
        <w:t>effort to reduce use</w:t>
      </w:r>
      <w:r w:rsidR="00164663" w:rsidRPr="00B8446F">
        <w:rPr>
          <w:rFonts w:ascii="Arial" w:hAnsi="Arial" w:cs="Arial"/>
          <w:sz w:val="22"/>
          <w:szCs w:val="22"/>
        </w:rPr>
        <w:t>s</w:t>
      </w:r>
      <w:r w:rsidRPr="00B8446F">
        <w:rPr>
          <w:rFonts w:ascii="Arial" w:hAnsi="Arial" w:cs="Arial"/>
          <w:sz w:val="22"/>
          <w:szCs w:val="22"/>
        </w:rPr>
        <w:t xml:space="preserve"> of force through </w:t>
      </w:r>
      <w:r w:rsidR="00B8446F" w:rsidRPr="00B8446F">
        <w:rPr>
          <w:rFonts w:ascii="Arial" w:hAnsi="Arial" w:cs="Arial"/>
          <w:sz w:val="22"/>
          <w:szCs w:val="22"/>
        </w:rPr>
        <w:t xml:space="preserve">increased training. </w:t>
      </w:r>
      <w:r w:rsidR="00631FC3">
        <w:rPr>
          <w:rFonts w:ascii="Arial" w:hAnsi="Arial" w:cs="Arial"/>
          <w:sz w:val="22"/>
          <w:szCs w:val="22"/>
        </w:rPr>
        <w:t xml:space="preserve">During this period </w:t>
      </w:r>
      <w:r w:rsidR="00A205D4" w:rsidRPr="00B8446F">
        <w:rPr>
          <w:rFonts w:ascii="Arial" w:hAnsi="Arial" w:cs="Arial"/>
          <w:sz w:val="22"/>
          <w:szCs w:val="22"/>
        </w:rPr>
        <w:t>OPD</w:t>
      </w:r>
      <w:r w:rsidRPr="00B8446F">
        <w:rPr>
          <w:rFonts w:ascii="Arial" w:hAnsi="Arial" w:cs="Arial"/>
          <w:sz w:val="22"/>
          <w:szCs w:val="22"/>
        </w:rPr>
        <w:t xml:space="preserve"> increased classroom training to </w:t>
      </w:r>
      <w:r w:rsidR="004409CA" w:rsidRPr="00B8446F">
        <w:rPr>
          <w:rFonts w:ascii="Arial" w:hAnsi="Arial" w:cs="Arial"/>
          <w:sz w:val="22"/>
          <w:szCs w:val="22"/>
        </w:rPr>
        <w:t xml:space="preserve">reinforce </w:t>
      </w:r>
      <w:r w:rsidRPr="00B8446F">
        <w:rPr>
          <w:rFonts w:ascii="Arial" w:hAnsi="Arial" w:cs="Arial"/>
          <w:sz w:val="22"/>
          <w:szCs w:val="22"/>
        </w:rPr>
        <w:t xml:space="preserve">the legal </w:t>
      </w:r>
      <w:r w:rsidR="004409CA" w:rsidRPr="00B8446F">
        <w:rPr>
          <w:rFonts w:ascii="Arial" w:hAnsi="Arial" w:cs="Arial"/>
          <w:sz w:val="22"/>
          <w:szCs w:val="22"/>
        </w:rPr>
        <w:t xml:space="preserve">and policy </w:t>
      </w:r>
      <w:r w:rsidRPr="00B8446F">
        <w:rPr>
          <w:rFonts w:ascii="Arial" w:hAnsi="Arial" w:cs="Arial"/>
          <w:sz w:val="22"/>
          <w:szCs w:val="22"/>
        </w:rPr>
        <w:t>requirements for using force – even lower level</w:t>
      </w:r>
      <w:r w:rsidR="004409CA" w:rsidRPr="00B8446F">
        <w:rPr>
          <w:rFonts w:ascii="Arial" w:hAnsi="Arial" w:cs="Arial"/>
          <w:sz w:val="22"/>
          <w:szCs w:val="22"/>
        </w:rPr>
        <w:t>s</w:t>
      </w:r>
      <w:r w:rsidRPr="00B8446F">
        <w:rPr>
          <w:rFonts w:ascii="Arial" w:hAnsi="Arial" w:cs="Arial"/>
          <w:sz w:val="22"/>
          <w:szCs w:val="22"/>
        </w:rPr>
        <w:t xml:space="preserve"> such as the pointing of a firearm at a person. </w:t>
      </w:r>
      <w:r w:rsidR="004409CA" w:rsidRPr="00B8446F">
        <w:rPr>
          <w:rFonts w:ascii="Arial" w:hAnsi="Arial" w:cs="Arial"/>
          <w:sz w:val="22"/>
          <w:szCs w:val="22"/>
        </w:rPr>
        <w:t>OPD</w:t>
      </w:r>
      <w:r w:rsidRPr="00B8446F">
        <w:rPr>
          <w:rFonts w:ascii="Arial" w:hAnsi="Arial" w:cs="Arial"/>
          <w:sz w:val="22"/>
          <w:szCs w:val="22"/>
        </w:rPr>
        <w:t xml:space="preserve"> added additional dynamic training that includes simulated arrests, video simulators and role playing with non-lethal firearms as well as other force options. Additionally, more officers </w:t>
      </w:r>
      <w:r w:rsidR="00E83895" w:rsidRPr="00B8446F">
        <w:rPr>
          <w:rFonts w:ascii="Arial" w:hAnsi="Arial" w:cs="Arial"/>
          <w:sz w:val="22"/>
          <w:szCs w:val="22"/>
        </w:rPr>
        <w:t>are getting</w:t>
      </w:r>
      <w:r w:rsidRPr="00B8446F">
        <w:rPr>
          <w:rFonts w:ascii="Arial" w:hAnsi="Arial" w:cs="Arial"/>
          <w:sz w:val="22"/>
          <w:szCs w:val="22"/>
        </w:rPr>
        <w:t xml:space="preserve"> trained in crisis </w:t>
      </w:r>
      <w:r w:rsidR="00E83895" w:rsidRPr="00B8446F">
        <w:rPr>
          <w:rFonts w:ascii="Arial" w:hAnsi="Arial" w:cs="Arial"/>
          <w:sz w:val="22"/>
          <w:szCs w:val="22"/>
        </w:rPr>
        <w:t>i</w:t>
      </w:r>
      <w:r w:rsidRPr="00B8446F">
        <w:rPr>
          <w:rFonts w:ascii="Arial" w:hAnsi="Arial" w:cs="Arial"/>
          <w:sz w:val="22"/>
          <w:szCs w:val="22"/>
        </w:rPr>
        <w:t xml:space="preserve">ntervention techniques with a focus on interacting with persons experiencing mental </w:t>
      </w:r>
      <w:r w:rsidR="00B8446F" w:rsidRPr="00B8446F">
        <w:rPr>
          <w:rFonts w:ascii="Arial" w:hAnsi="Arial" w:cs="Arial"/>
          <w:sz w:val="22"/>
          <w:szCs w:val="22"/>
        </w:rPr>
        <w:t>crisis</w:t>
      </w:r>
      <w:r w:rsidRPr="00B8446F">
        <w:rPr>
          <w:rFonts w:ascii="Arial" w:hAnsi="Arial" w:cs="Arial"/>
          <w:sz w:val="22"/>
          <w:szCs w:val="22"/>
        </w:rPr>
        <w:t>.</w:t>
      </w:r>
      <w:r w:rsidR="00BF50DB">
        <w:rPr>
          <w:rFonts w:ascii="Arial" w:hAnsi="Arial" w:cs="Arial"/>
          <w:sz w:val="22"/>
          <w:szCs w:val="22"/>
        </w:rPr>
        <w:t xml:space="preserve">  </w:t>
      </w:r>
    </w:p>
    <w:p w14:paraId="3A3D4EAF" w14:textId="77777777" w:rsidR="00724B30" w:rsidRDefault="00724B30" w:rsidP="00906C31">
      <w:pPr>
        <w:pStyle w:val="NormalWeb"/>
        <w:spacing w:before="2" w:after="2"/>
        <w:jc w:val="both"/>
        <w:rPr>
          <w:rFonts w:ascii="Arial" w:hAnsi="Arial" w:cs="Arial"/>
          <w:sz w:val="22"/>
          <w:szCs w:val="22"/>
        </w:rPr>
      </w:pPr>
    </w:p>
    <w:p w14:paraId="767B158F" w14:textId="22C75DBA" w:rsidR="0082171B" w:rsidRDefault="0082171B" w:rsidP="00724B30">
      <w:pPr>
        <w:spacing w:after="200" w:line="276" w:lineRule="auto"/>
        <w:jc w:val="center"/>
        <w:rPr>
          <w:rFonts w:ascii="Arial" w:hAnsi="Arial" w:cs="Arial"/>
          <w:b/>
          <w:u w:val="single"/>
        </w:rPr>
      </w:pPr>
      <w:r w:rsidRPr="00E13F47">
        <w:rPr>
          <w:rFonts w:ascii="Arial" w:hAnsi="Arial" w:cs="Arial"/>
          <w:b/>
          <w:u w:val="single"/>
        </w:rPr>
        <w:t>Uses of Force January 1, 201</w:t>
      </w:r>
      <w:r w:rsidR="00053D37">
        <w:rPr>
          <w:rFonts w:ascii="Arial" w:hAnsi="Arial" w:cs="Arial"/>
          <w:b/>
          <w:u w:val="single"/>
        </w:rPr>
        <w:t>9</w:t>
      </w:r>
      <w:r w:rsidRPr="00E13F47">
        <w:rPr>
          <w:rFonts w:ascii="Arial" w:hAnsi="Arial" w:cs="Arial"/>
          <w:b/>
          <w:u w:val="single"/>
        </w:rPr>
        <w:t xml:space="preserve"> to </w:t>
      </w:r>
      <w:r w:rsidR="00BA2D2E" w:rsidRPr="00E13F47">
        <w:rPr>
          <w:rFonts w:ascii="Arial" w:hAnsi="Arial" w:cs="Arial"/>
          <w:b/>
          <w:u w:val="single"/>
        </w:rPr>
        <w:t>June 30, 2019</w:t>
      </w:r>
      <w:r w:rsidR="00653325">
        <w:rPr>
          <w:rStyle w:val="FootnoteReference"/>
          <w:rFonts w:ascii="Arial" w:hAnsi="Arial" w:cs="Arial"/>
          <w:b/>
          <w:u w:val="single"/>
        </w:rPr>
        <w:footnoteReference w:id="2"/>
      </w:r>
    </w:p>
    <w:p w14:paraId="0157ED44" w14:textId="28B22CF9" w:rsidR="00631FC3" w:rsidRPr="00E13F47" w:rsidRDefault="00FE4911" w:rsidP="00724B30">
      <w:pPr>
        <w:spacing w:after="200" w:line="276" w:lineRule="auto"/>
        <w:jc w:val="center"/>
        <w:rPr>
          <w:rFonts w:ascii="Arial" w:hAnsi="Arial" w:cs="Arial"/>
          <w:b/>
          <w:u w:val="single"/>
        </w:rPr>
      </w:pPr>
      <w:r>
        <w:rPr>
          <w:noProof/>
        </w:rPr>
        <w:drawing>
          <wp:inline distT="0" distB="0" distL="0" distR="0" wp14:anchorId="56741583" wp14:editId="34948318">
            <wp:extent cx="6493510" cy="2687541"/>
            <wp:effectExtent l="0" t="0" r="2540" b="17780"/>
            <wp:docPr id="17" name="Chart 17">
              <a:extLst xmlns:a="http://schemas.openxmlformats.org/drawingml/2006/main">
                <a:ext uri="{FF2B5EF4-FFF2-40B4-BE49-F238E27FC236}">
                  <a16:creationId xmlns:a16="http://schemas.microsoft.com/office/drawing/2014/main" id="{E916EAF9-13BD-41A5-9F47-5BC7D0AF9F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8E040C" w14:textId="2575A880" w:rsidR="00312DE1" w:rsidRDefault="00312DE1" w:rsidP="00312DE1">
      <w:pPr>
        <w:pStyle w:val="NormalWeb"/>
        <w:spacing w:before="2" w:after="2"/>
        <w:jc w:val="center"/>
        <w:rPr>
          <w:rFonts w:ascii="Arial" w:eastAsia="Times New Roman" w:hAnsi="Arial" w:cs="Arial"/>
          <w:sz w:val="22"/>
          <w:szCs w:val="22"/>
        </w:rPr>
      </w:pPr>
    </w:p>
    <w:p w14:paraId="2440AF27" w14:textId="2DF1D66F" w:rsidR="00AC737A" w:rsidRDefault="00AC737A" w:rsidP="00D36108">
      <w:pPr>
        <w:pStyle w:val="NormalWeb"/>
        <w:spacing w:before="2" w:after="2"/>
        <w:jc w:val="both"/>
        <w:rPr>
          <w:rFonts w:ascii="Arial" w:eastAsia="Times New Roman" w:hAnsi="Arial" w:cs="Arial"/>
          <w:sz w:val="22"/>
          <w:szCs w:val="22"/>
        </w:rPr>
      </w:pPr>
      <w:r w:rsidRPr="00E13F47">
        <w:rPr>
          <w:rFonts w:ascii="Arial" w:eastAsia="Times New Roman" w:hAnsi="Arial" w:cs="Arial"/>
          <w:sz w:val="22"/>
          <w:szCs w:val="22"/>
        </w:rPr>
        <w:t xml:space="preserve">From January 1 to June 30, 2019, there were 362 incidents in which force was reported. </w:t>
      </w:r>
      <w:r w:rsidR="001E3AF4" w:rsidRPr="00E13F47">
        <w:rPr>
          <w:rFonts w:ascii="Arial" w:eastAsia="Times New Roman" w:hAnsi="Arial" w:cs="Arial"/>
          <w:sz w:val="22"/>
          <w:szCs w:val="22"/>
        </w:rPr>
        <w:t>Although m</w:t>
      </w:r>
      <w:r w:rsidRPr="00E13F47">
        <w:rPr>
          <w:rFonts w:ascii="Arial" w:eastAsia="Times New Roman" w:hAnsi="Arial" w:cs="Arial"/>
          <w:sz w:val="22"/>
          <w:szCs w:val="22"/>
        </w:rPr>
        <w:t xml:space="preserve">ultiple officers </w:t>
      </w:r>
      <w:r w:rsidR="001E3AF4" w:rsidRPr="00E13F47">
        <w:rPr>
          <w:rFonts w:ascii="Arial" w:eastAsia="Times New Roman" w:hAnsi="Arial" w:cs="Arial"/>
          <w:sz w:val="22"/>
          <w:szCs w:val="22"/>
        </w:rPr>
        <w:t xml:space="preserve">may </w:t>
      </w:r>
      <w:r w:rsidRPr="00E13F47">
        <w:rPr>
          <w:rFonts w:ascii="Arial" w:eastAsia="Times New Roman" w:hAnsi="Arial" w:cs="Arial"/>
          <w:sz w:val="22"/>
          <w:szCs w:val="22"/>
        </w:rPr>
        <w:t xml:space="preserve">use force in the same incident, the data included in the chart represents incidents, and the incident is categorized as the highest level of force used. </w:t>
      </w:r>
      <w:r w:rsidR="001E3AF4" w:rsidRPr="00E13F47">
        <w:rPr>
          <w:rFonts w:ascii="Arial" w:eastAsia="Times New Roman" w:hAnsi="Arial" w:cs="Arial"/>
          <w:sz w:val="22"/>
          <w:szCs w:val="22"/>
        </w:rPr>
        <w:t>The force types break down as follows:  one</w:t>
      </w:r>
      <w:r w:rsidR="00FB4E8C" w:rsidRPr="00E13F47">
        <w:rPr>
          <w:rFonts w:ascii="Arial" w:eastAsia="Times New Roman" w:hAnsi="Arial" w:cs="Arial"/>
          <w:sz w:val="22"/>
          <w:szCs w:val="22"/>
        </w:rPr>
        <w:t xml:space="preserve"> </w:t>
      </w:r>
      <w:r w:rsidRPr="00E13F47">
        <w:rPr>
          <w:rFonts w:ascii="Arial" w:eastAsia="Times New Roman" w:hAnsi="Arial" w:cs="Arial"/>
          <w:sz w:val="22"/>
          <w:szCs w:val="22"/>
        </w:rPr>
        <w:t>Level 1 use of force</w:t>
      </w:r>
      <w:r w:rsidR="00FB4E8C" w:rsidRPr="00E13F47">
        <w:rPr>
          <w:rFonts w:ascii="Arial" w:eastAsia="Times New Roman" w:hAnsi="Arial" w:cs="Arial"/>
          <w:sz w:val="22"/>
          <w:szCs w:val="22"/>
        </w:rPr>
        <w:t>, due to a canine bite</w:t>
      </w:r>
      <w:r w:rsidR="001E3AF4" w:rsidRPr="00E13F47">
        <w:rPr>
          <w:rFonts w:ascii="Arial" w:eastAsia="Times New Roman" w:hAnsi="Arial" w:cs="Arial"/>
          <w:sz w:val="22"/>
          <w:szCs w:val="22"/>
        </w:rPr>
        <w:t>.</w:t>
      </w:r>
      <w:r w:rsidR="00653325">
        <w:rPr>
          <w:rFonts w:ascii="Arial" w:eastAsia="Times New Roman" w:hAnsi="Arial" w:cs="Arial"/>
          <w:sz w:val="22"/>
          <w:szCs w:val="22"/>
        </w:rPr>
        <w:t xml:space="preserve"> </w:t>
      </w:r>
      <w:r w:rsidR="001E3AF4" w:rsidRPr="00E13F47">
        <w:rPr>
          <w:rFonts w:ascii="Arial" w:eastAsia="Times New Roman" w:hAnsi="Arial" w:cs="Arial"/>
          <w:sz w:val="22"/>
          <w:szCs w:val="22"/>
        </w:rPr>
        <w:t xml:space="preserve">(0.3%), </w:t>
      </w:r>
      <w:r w:rsidR="003E592A" w:rsidRPr="00E13F47">
        <w:rPr>
          <w:rFonts w:ascii="Arial" w:eastAsia="Times New Roman" w:hAnsi="Arial" w:cs="Arial"/>
          <w:sz w:val="22"/>
          <w:szCs w:val="22"/>
        </w:rPr>
        <w:t>11 Level 2 incidents (3%), 43 Level 3 incidents (1</w:t>
      </w:r>
      <w:r w:rsidR="00631FC3">
        <w:rPr>
          <w:rFonts w:ascii="Arial" w:eastAsia="Times New Roman" w:hAnsi="Arial" w:cs="Arial"/>
          <w:sz w:val="22"/>
          <w:szCs w:val="22"/>
        </w:rPr>
        <w:t>1.9</w:t>
      </w:r>
      <w:r w:rsidR="003E592A" w:rsidRPr="00E13F47">
        <w:rPr>
          <w:rFonts w:ascii="Arial" w:eastAsia="Times New Roman" w:hAnsi="Arial" w:cs="Arial"/>
          <w:sz w:val="22"/>
          <w:szCs w:val="22"/>
        </w:rPr>
        <w:t>%), 307</w:t>
      </w:r>
      <w:r w:rsidR="00631FC3">
        <w:rPr>
          <w:rFonts w:ascii="Arial" w:eastAsia="Times New Roman" w:hAnsi="Arial" w:cs="Arial"/>
          <w:sz w:val="22"/>
          <w:szCs w:val="22"/>
        </w:rPr>
        <w:t>,</w:t>
      </w:r>
      <w:r w:rsidR="003E592A" w:rsidRPr="00E13F47">
        <w:rPr>
          <w:rFonts w:ascii="Arial" w:eastAsia="Times New Roman" w:hAnsi="Arial" w:cs="Arial"/>
          <w:sz w:val="22"/>
          <w:szCs w:val="22"/>
        </w:rPr>
        <w:t xml:space="preserve"> Level 4 events (8</w:t>
      </w:r>
      <w:r w:rsidR="00631FC3">
        <w:rPr>
          <w:rFonts w:ascii="Arial" w:eastAsia="Times New Roman" w:hAnsi="Arial" w:cs="Arial"/>
          <w:sz w:val="22"/>
          <w:szCs w:val="22"/>
        </w:rPr>
        <w:t>4.8</w:t>
      </w:r>
      <w:r w:rsidR="006A47BD" w:rsidRPr="00E13F47">
        <w:rPr>
          <w:rFonts w:ascii="Arial" w:eastAsia="Times New Roman" w:hAnsi="Arial" w:cs="Arial"/>
          <w:sz w:val="22"/>
          <w:szCs w:val="22"/>
        </w:rPr>
        <w:t>%).</w:t>
      </w:r>
    </w:p>
    <w:p w14:paraId="608C3F9C" w14:textId="77777777" w:rsidR="00584CE6" w:rsidRPr="00E13F47" w:rsidRDefault="00584CE6" w:rsidP="00D36108">
      <w:pPr>
        <w:pStyle w:val="NormalWeb"/>
        <w:spacing w:before="2" w:after="2"/>
        <w:jc w:val="both"/>
        <w:rPr>
          <w:rFonts w:ascii="Arial" w:eastAsia="Times New Roman" w:hAnsi="Arial" w:cs="Arial"/>
          <w:sz w:val="22"/>
          <w:szCs w:val="22"/>
        </w:rPr>
      </w:pPr>
    </w:p>
    <w:p w14:paraId="56A2C0A2" w14:textId="35C43DE2" w:rsidR="001E1F55" w:rsidRPr="001C328D" w:rsidRDefault="00653325" w:rsidP="00AE24B1">
      <w:pPr>
        <w:shd w:val="clear" w:color="auto" w:fill="FFFFFF"/>
        <w:jc w:val="both"/>
        <w:rPr>
          <w:rFonts w:ascii="Arial" w:eastAsia="Times New Roman" w:hAnsi="Arial" w:cs="Arial"/>
          <w:b/>
          <w:bCs/>
          <w:u w:val="single"/>
        </w:rPr>
      </w:pPr>
      <w:r w:rsidRPr="001C328D">
        <w:rPr>
          <w:rFonts w:ascii="Arial" w:eastAsia="Times New Roman" w:hAnsi="Arial" w:cs="Arial"/>
          <w:b/>
          <w:bCs/>
          <w:u w:val="single"/>
        </w:rPr>
        <w:t>Officer Involved Shootings</w:t>
      </w:r>
      <w:r w:rsidR="005406C6">
        <w:rPr>
          <w:rFonts w:ascii="Arial" w:eastAsia="Times New Roman" w:hAnsi="Arial" w:cs="Arial"/>
          <w:b/>
          <w:bCs/>
          <w:u w:val="single"/>
        </w:rPr>
        <w:t xml:space="preserve"> and Level 1 Uses of Force</w:t>
      </w:r>
    </w:p>
    <w:p w14:paraId="41D60CC7" w14:textId="02DBD0A0" w:rsidR="001438C2" w:rsidRPr="00E13F47" w:rsidRDefault="00A167CB" w:rsidP="00AE24B1">
      <w:pPr>
        <w:shd w:val="clear" w:color="auto" w:fill="FFFFFF"/>
        <w:jc w:val="both"/>
        <w:rPr>
          <w:rFonts w:ascii="Arial" w:eastAsia="Times New Roman" w:hAnsi="Arial" w:cs="Arial"/>
          <w:bCs/>
        </w:rPr>
      </w:pPr>
      <w:r w:rsidRPr="00E13F47">
        <w:rPr>
          <w:rFonts w:ascii="Arial" w:eastAsia="Times New Roman" w:hAnsi="Arial" w:cs="Arial"/>
          <w:bCs/>
        </w:rPr>
        <w:t>An</w:t>
      </w:r>
      <w:r w:rsidR="00463F1D" w:rsidRPr="00E13F47">
        <w:rPr>
          <w:rFonts w:ascii="Arial" w:eastAsia="Times New Roman" w:hAnsi="Arial" w:cs="Arial"/>
          <w:bCs/>
        </w:rPr>
        <w:t>y</w:t>
      </w:r>
      <w:r w:rsidRPr="00E13F47">
        <w:rPr>
          <w:rFonts w:ascii="Arial" w:eastAsia="Times New Roman" w:hAnsi="Arial" w:cs="Arial"/>
          <w:bCs/>
        </w:rPr>
        <w:t xml:space="preserve"> event that leads to an officer</w:t>
      </w:r>
      <w:r w:rsidR="00104094" w:rsidRPr="00E13F47">
        <w:rPr>
          <w:rFonts w:ascii="Arial" w:eastAsia="Times New Roman" w:hAnsi="Arial" w:cs="Arial"/>
          <w:bCs/>
        </w:rPr>
        <w:t>-i</w:t>
      </w:r>
      <w:r w:rsidRPr="00E13F47">
        <w:rPr>
          <w:rFonts w:ascii="Arial" w:eastAsia="Times New Roman" w:hAnsi="Arial" w:cs="Arial"/>
          <w:bCs/>
        </w:rPr>
        <w:t xml:space="preserve">nvolved shooting </w:t>
      </w:r>
      <w:r w:rsidR="005406C6">
        <w:rPr>
          <w:rFonts w:ascii="Arial" w:eastAsia="Times New Roman" w:hAnsi="Arial" w:cs="Arial"/>
          <w:bCs/>
        </w:rPr>
        <w:t xml:space="preserve">or serious use of force </w:t>
      </w:r>
      <w:r w:rsidRPr="00E13F47">
        <w:rPr>
          <w:rFonts w:ascii="Arial" w:eastAsia="Times New Roman" w:hAnsi="Arial" w:cs="Arial"/>
          <w:bCs/>
        </w:rPr>
        <w:t xml:space="preserve">is </w:t>
      </w:r>
      <w:r w:rsidR="00714B0B" w:rsidRPr="00E13F47">
        <w:rPr>
          <w:rFonts w:ascii="Arial" w:eastAsia="Times New Roman" w:hAnsi="Arial" w:cs="Arial"/>
          <w:bCs/>
        </w:rPr>
        <w:t xml:space="preserve">traumatic event for both the public and the Department.  </w:t>
      </w:r>
      <w:r w:rsidR="00A8128F" w:rsidRPr="00E13F47">
        <w:rPr>
          <w:rFonts w:ascii="Arial" w:eastAsia="Times New Roman" w:hAnsi="Arial" w:cs="Arial"/>
          <w:bCs/>
        </w:rPr>
        <w:t xml:space="preserve">The </w:t>
      </w:r>
      <w:r w:rsidR="003620E4" w:rsidRPr="00E13F47">
        <w:rPr>
          <w:rFonts w:ascii="Arial" w:eastAsia="Times New Roman" w:hAnsi="Arial" w:cs="Arial"/>
          <w:bCs/>
        </w:rPr>
        <w:t>number of shootings</w:t>
      </w:r>
      <w:r w:rsidR="005406C6">
        <w:rPr>
          <w:rFonts w:ascii="Arial" w:eastAsia="Times New Roman" w:hAnsi="Arial" w:cs="Arial"/>
          <w:bCs/>
        </w:rPr>
        <w:t xml:space="preserve"> and Level 1 uses of force</w:t>
      </w:r>
      <w:r w:rsidR="003620E4" w:rsidRPr="00E13F47">
        <w:rPr>
          <w:rFonts w:ascii="Arial" w:eastAsia="Times New Roman" w:hAnsi="Arial" w:cs="Arial"/>
          <w:bCs/>
        </w:rPr>
        <w:t xml:space="preserve"> has been </w:t>
      </w:r>
      <w:r w:rsidR="00107800" w:rsidRPr="00E13F47">
        <w:rPr>
          <w:rFonts w:ascii="Arial" w:eastAsia="Times New Roman" w:hAnsi="Arial" w:cs="Arial"/>
          <w:bCs/>
        </w:rPr>
        <w:t xml:space="preserve">declining. </w:t>
      </w:r>
      <w:r w:rsidR="00D33F2A">
        <w:rPr>
          <w:rFonts w:ascii="Arial" w:eastAsia="Times New Roman" w:hAnsi="Arial" w:cs="Arial"/>
          <w:bCs/>
        </w:rPr>
        <w:t>No</w:t>
      </w:r>
      <w:r w:rsidR="00432F7B" w:rsidRPr="00E13F47">
        <w:rPr>
          <w:rFonts w:ascii="Arial" w:eastAsia="Times New Roman" w:hAnsi="Arial" w:cs="Arial"/>
          <w:bCs/>
        </w:rPr>
        <w:t xml:space="preserve"> </w:t>
      </w:r>
      <w:r w:rsidR="00A9177D">
        <w:rPr>
          <w:rFonts w:ascii="Arial" w:eastAsia="Times New Roman" w:hAnsi="Arial" w:cs="Arial"/>
          <w:bCs/>
        </w:rPr>
        <w:t xml:space="preserve">OPD </w:t>
      </w:r>
      <w:r w:rsidR="00432F7B" w:rsidRPr="00E13F47">
        <w:rPr>
          <w:rFonts w:ascii="Arial" w:eastAsia="Times New Roman" w:hAnsi="Arial" w:cs="Arial"/>
          <w:bCs/>
        </w:rPr>
        <w:t>officer involved shootings</w:t>
      </w:r>
      <w:r w:rsidR="005406C6">
        <w:rPr>
          <w:rFonts w:ascii="Arial" w:eastAsia="Times New Roman" w:hAnsi="Arial" w:cs="Arial"/>
          <w:bCs/>
        </w:rPr>
        <w:t xml:space="preserve"> or </w:t>
      </w:r>
      <w:r w:rsidR="00DA48EC">
        <w:rPr>
          <w:rFonts w:ascii="Arial" w:eastAsia="Times New Roman" w:hAnsi="Arial" w:cs="Arial"/>
          <w:bCs/>
        </w:rPr>
        <w:t>other type of Level 1 use of force</w:t>
      </w:r>
      <w:r w:rsidR="00432F7B" w:rsidRPr="00E13F47">
        <w:rPr>
          <w:rFonts w:ascii="Arial" w:eastAsia="Times New Roman" w:hAnsi="Arial" w:cs="Arial"/>
          <w:bCs/>
        </w:rPr>
        <w:t xml:space="preserve"> </w:t>
      </w:r>
      <w:r w:rsidR="00104094" w:rsidRPr="00E13F47">
        <w:rPr>
          <w:rFonts w:ascii="Arial" w:eastAsia="Times New Roman" w:hAnsi="Arial" w:cs="Arial"/>
          <w:bCs/>
        </w:rPr>
        <w:t xml:space="preserve">occurred </w:t>
      </w:r>
      <w:r w:rsidR="00432F7B" w:rsidRPr="00E13F47">
        <w:rPr>
          <w:rFonts w:ascii="Arial" w:eastAsia="Times New Roman" w:hAnsi="Arial" w:cs="Arial"/>
          <w:bCs/>
        </w:rPr>
        <w:t xml:space="preserve">during this review period. </w:t>
      </w:r>
      <w:r w:rsidR="00A9177D">
        <w:rPr>
          <w:rStyle w:val="FootnoteReference"/>
          <w:rFonts w:ascii="Arial" w:eastAsia="Times New Roman" w:hAnsi="Arial" w:cs="Arial"/>
          <w:bCs/>
        </w:rPr>
        <w:footnoteReference w:id="3"/>
      </w:r>
    </w:p>
    <w:p w14:paraId="0863A23A" w14:textId="7BF64CAB" w:rsidR="001438C2" w:rsidRPr="00E13F47" w:rsidRDefault="00321B96" w:rsidP="00AE24B1">
      <w:pPr>
        <w:shd w:val="clear" w:color="auto" w:fill="FFFFFF"/>
        <w:jc w:val="both"/>
        <w:rPr>
          <w:rFonts w:ascii="Arial" w:eastAsia="Times New Roman" w:hAnsi="Arial" w:cs="Arial"/>
          <w:b/>
        </w:rPr>
      </w:pPr>
      <w:r>
        <w:rPr>
          <w:noProof/>
        </w:rPr>
        <w:lastRenderedPageBreak/>
        <w:drawing>
          <wp:inline distT="0" distB="0" distL="0" distR="0" wp14:anchorId="32E84025" wp14:editId="7D2E19C0">
            <wp:extent cx="6471920" cy="2234317"/>
            <wp:effectExtent l="0" t="0" r="5080" b="13970"/>
            <wp:docPr id="7" name="Chart 7">
              <a:extLst xmlns:a="http://schemas.openxmlformats.org/drawingml/2006/main">
                <a:ext uri="{FF2B5EF4-FFF2-40B4-BE49-F238E27FC236}">
                  <a16:creationId xmlns:a16="http://schemas.microsoft.com/office/drawing/2014/main" id="{AE6022F7-C3A2-473E-9DCA-044A14974A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CAD2A4" w14:textId="77777777" w:rsidR="00035C43" w:rsidRPr="00E13F47" w:rsidRDefault="00035C43" w:rsidP="00AE24B1">
      <w:pPr>
        <w:shd w:val="clear" w:color="auto" w:fill="FFFFFF"/>
        <w:jc w:val="both"/>
        <w:rPr>
          <w:rFonts w:ascii="Arial" w:eastAsia="Times New Roman" w:hAnsi="Arial" w:cs="Arial"/>
          <w:b/>
        </w:rPr>
      </w:pPr>
    </w:p>
    <w:p w14:paraId="7B7E8C97" w14:textId="081B7F8F" w:rsidR="001438C2" w:rsidRPr="001C328D" w:rsidRDefault="001C328D" w:rsidP="00D36108">
      <w:pPr>
        <w:shd w:val="clear" w:color="auto" w:fill="FFFFFF"/>
        <w:jc w:val="both"/>
        <w:rPr>
          <w:rFonts w:ascii="Arial" w:eastAsia="Times New Roman" w:hAnsi="Arial" w:cs="Arial"/>
          <w:b/>
          <w:u w:val="single"/>
        </w:rPr>
      </w:pPr>
      <w:r w:rsidRPr="001C328D">
        <w:rPr>
          <w:rFonts w:ascii="Arial" w:eastAsia="Times New Roman" w:hAnsi="Arial" w:cs="Arial"/>
          <w:b/>
          <w:u w:val="single"/>
        </w:rPr>
        <w:t>Force Review Boards</w:t>
      </w:r>
      <w:r w:rsidR="001438C2" w:rsidRPr="001C328D">
        <w:rPr>
          <w:rFonts w:ascii="Arial" w:eastAsia="Times New Roman" w:hAnsi="Arial" w:cs="Arial"/>
          <w:b/>
          <w:u w:val="single"/>
        </w:rPr>
        <w:t>:</w:t>
      </w:r>
    </w:p>
    <w:p w14:paraId="3CC4E87C" w14:textId="1F27CEEA" w:rsidR="00D915BF" w:rsidRPr="00E13F47" w:rsidRDefault="00D65B41" w:rsidP="00C912B0">
      <w:pPr>
        <w:shd w:val="clear" w:color="auto" w:fill="FFFFFF"/>
        <w:jc w:val="both"/>
        <w:rPr>
          <w:rFonts w:ascii="Arial" w:eastAsia="Times New Roman" w:hAnsi="Arial" w:cs="Arial"/>
        </w:rPr>
      </w:pPr>
      <w:r w:rsidRPr="00E13F47">
        <w:rPr>
          <w:rFonts w:ascii="Arial" w:eastAsia="Times New Roman" w:hAnsi="Arial" w:cs="Arial"/>
        </w:rPr>
        <w:t>OPD conducts</w:t>
      </w:r>
      <w:r w:rsidR="00D915BF" w:rsidRPr="00E13F47">
        <w:rPr>
          <w:rFonts w:ascii="Arial" w:eastAsia="Times New Roman" w:hAnsi="Arial" w:cs="Arial"/>
        </w:rPr>
        <w:t xml:space="preserve"> Force Review Boards (FRBs) and Executive Force Review Boards</w:t>
      </w:r>
      <w:r w:rsidRPr="00E13F47">
        <w:rPr>
          <w:rFonts w:ascii="Arial" w:eastAsia="Times New Roman" w:hAnsi="Arial" w:cs="Arial"/>
        </w:rPr>
        <w:t xml:space="preserve"> (EFRBs) </w:t>
      </w:r>
      <w:r w:rsidR="00D915BF" w:rsidRPr="00E13F47">
        <w:rPr>
          <w:rFonts w:ascii="Arial" w:eastAsia="Times New Roman" w:hAnsi="Arial" w:cs="Arial"/>
        </w:rPr>
        <w:t xml:space="preserve">to </w:t>
      </w:r>
      <w:r w:rsidR="00B1377C" w:rsidRPr="00E13F47">
        <w:rPr>
          <w:rFonts w:ascii="Arial" w:eastAsia="Times New Roman" w:hAnsi="Arial" w:cs="Arial"/>
        </w:rPr>
        <w:t xml:space="preserve">independently </w:t>
      </w:r>
      <w:r w:rsidR="00D915BF" w:rsidRPr="00E13F47">
        <w:rPr>
          <w:rFonts w:ascii="Arial" w:eastAsia="Times New Roman" w:hAnsi="Arial" w:cs="Arial"/>
        </w:rPr>
        <w:t>evaluate and review the force incidents</w:t>
      </w:r>
      <w:r w:rsidR="003E592A" w:rsidRPr="00E13F47">
        <w:rPr>
          <w:rFonts w:ascii="Arial" w:eastAsia="Times New Roman" w:hAnsi="Arial" w:cs="Arial"/>
        </w:rPr>
        <w:t>.  The Boards also make recommendations for policy or training changes.</w:t>
      </w:r>
      <w:r w:rsidR="00D915BF" w:rsidRPr="00E13F47">
        <w:rPr>
          <w:rFonts w:ascii="Arial" w:eastAsia="Times New Roman" w:hAnsi="Arial" w:cs="Arial"/>
        </w:rPr>
        <w:t xml:space="preserve"> FRBs analyze and assess </w:t>
      </w:r>
      <w:r w:rsidR="00B1377C" w:rsidRPr="00E13F47">
        <w:rPr>
          <w:rFonts w:ascii="Arial" w:eastAsia="Times New Roman" w:hAnsi="Arial" w:cs="Arial"/>
        </w:rPr>
        <w:t xml:space="preserve">lower level </w:t>
      </w:r>
      <w:r w:rsidR="00D915BF" w:rsidRPr="00E13F47">
        <w:rPr>
          <w:rFonts w:ascii="Arial" w:eastAsia="Times New Roman" w:hAnsi="Arial" w:cs="Arial"/>
        </w:rPr>
        <w:t>use of force incidents</w:t>
      </w:r>
      <w:r w:rsidR="001C5253" w:rsidRPr="00E13F47">
        <w:rPr>
          <w:rFonts w:ascii="Arial" w:eastAsia="Times New Roman" w:hAnsi="Arial" w:cs="Arial"/>
        </w:rPr>
        <w:t xml:space="preserve">. </w:t>
      </w:r>
      <w:r w:rsidR="00D915BF" w:rsidRPr="00E13F47">
        <w:rPr>
          <w:rFonts w:ascii="Arial" w:eastAsia="Times New Roman" w:hAnsi="Arial" w:cs="Arial"/>
        </w:rPr>
        <w:t>EFR</w:t>
      </w:r>
      <w:r w:rsidR="001C5253" w:rsidRPr="00E13F47">
        <w:rPr>
          <w:rFonts w:ascii="Arial" w:eastAsia="Times New Roman" w:hAnsi="Arial" w:cs="Arial"/>
        </w:rPr>
        <w:t xml:space="preserve">Bs </w:t>
      </w:r>
      <w:r w:rsidR="00D915BF" w:rsidRPr="00E13F47">
        <w:rPr>
          <w:rFonts w:ascii="Arial" w:eastAsia="Times New Roman" w:hAnsi="Arial" w:cs="Arial"/>
        </w:rPr>
        <w:t>analyze and assess</w:t>
      </w:r>
      <w:r w:rsidR="00B1377C" w:rsidRPr="00E13F47">
        <w:rPr>
          <w:rFonts w:ascii="Arial" w:eastAsia="Times New Roman" w:hAnsi="Arial" w:cs="Arial"/>
        </w:rPr>
        <w:t xml:space="preserve"> Level 1 lethal use of force incidents, in-custody deaths,</w:t>
      </w:r>
      <w:r w:rsidR="00D915BF" w:rsidRPr="00E13F47">
        <w:rPr>
          <w:rFonts w:ascii="Arial" w:eastAsia="Times New Roman" w:hAnsi="Arial" w:cs="Arial"/>
        </w:rPr>
        <w:t xml:space="preserve"> deadl</w:t>
      </w:r>
      <w:r w:rsidR="00B1377C" w:rsidRPr="00E13F47">
        <w:rPr>
          <w:rFonts w:ascii="Arial" w:eastAsia="Times New Roman" w:hAnsi="Arial" w:cs="Arial"/>
        </w:rPr>
        <w:t>y incidents related to pursuits,</w:t>
      </w:r>
      <w:r w:rsidR="00D915BF" w:rsidRPr="00E13F47">
        <w:rPr>
          <w:rFonts w:ascii="Arial" w:eastAsia="Times New Roman" w:hAnsi="Arial" w:cs="Arial"/>
        </w:rPr>
        <w:t xml:space="preserve"> and other incidents at the direction of the Chief of Police.</w:t>
      </w:r>
    </w:p>
    <w:p w14:paraId="6917AA85" w14:textId="77777777" w:rsidR="00D915BF" w:rsidRPr="00E13F47" w:rsidRDefault="00D915BF" w:rsidP="00C912B0">
      <w:pPr>
        <w:shd w:val="clear" w:color="auto" w:fill="FFFFFF"/>
        <w:jc w:val="both"/>
        <w:rPr>
          <w:rFonts w:ascii="Arial" w:eastAsia="Times New Roman" w:hAnsi="Arial" w:cs="Arial"/>
        </w:rPr>
      </w:pPr>
    </w:p>
    <w:p w14:paraId="2A217CCB" w14:textId="2C68AECD" w:rsidR="002C16D1" w:rsidRPr="00E13F47" w:rsidRDefault="00D915BF" w:rsidP="00C912B0">
      <w:pPr>
        <w:shd w:val="clear" w:color="auto" w:fill="FFFFFF"/>
        <w:jc w:val="both"/>
        <w:rPr>
          <w:rFonts w:ascii="Arial" w:eastAsia="Times New Roman" w:hAnsi="Arial" w:cs="Arial"/>
        </w:rPr>
      </w:pPr>
      <w:r w:rsidRPr="00E13F47">
        <w:rPr>
          <w:rFonts w:ascii="Arial" w:eastAsia="Times New Roman" w:hAnsi="Arial" w:cs="Arial"/>
        </w:rPr>
        <w:t>FRBs are comprised of three command staff members</w:t>
      </w:r>
      <w:r w:rsidR="001905F9" w:rsidRPr="00E13F47">
        <w:rPr>
          <w:rFonts w:ascii="Arial" w:eastAsia="Times New Roman" w:hAnsi="Arial" w:cs="Arial"/>
        </w:rPr>
        <w:t xml:space="preserve"> </w:t>
      </w:r>
      <w:r w:rsidR="003E592A" w:rsidRPr="00E13F47">
        <w:rPr>
          <w:rFonts w:ascii="Arial" w:eastAsia="Times New Roman" w:hAnsi="Arial" w:cs="Arial"/>
        </w:rPr>
        <w:t>with</w:t>
      </w:r>
      <w:r w:rsidRPr="00E13F47">
        <w:rPr>
          <w:rFonts w:ascii="Arial" w:eastAsia="Times New Roman" w:hAnsi="Arial" w:cs="Arial"/>
        </w:rPr>
        <w:t xml:space="preserve"> the rank of Captain of Police or higher.  EFRBs are comprised of three command staff members, at least one </w:t>
      </w:r>
      <w:r w:rsidR="003E592A" w:rsidRPr="00E13F47">
        <w:rPr>
          <w:rFonts w:ascii="Arial" w:eastAsia="Times New Roman" w:hAnsi="Arial" w:cs="Arial"/>
        </w:rPr>
        <w:t>with the</w:t>
      </w:r>
      <w:r w:rsidRPr="00E13F47">
        <w:rPr>
          <w:rFonts w:ascii="Arial" w:eastAsia="Times New Roman" w:hAnsi="Arial" w:cs="Arial"/>
        </w:rPr>
        <w:t xml:space="preserve"> rank of Deputy Chief of Police </w:t>
      </w:r>
      <w:r w:rsidR="003E592A" w:rsidRPr="00E13F47">
        <w:rPr>
          <w:rFonts w:ascii="Arial" w:eastAsia="Times New Roman" w:hAnsi="Arial" w:cs="Arial"/>
        </w:rPr>
        <w:t xml:space="preserve">who also serves </w:t>
      </w:r>
      <w:r w:rsidRPr="00E13F47">
        <w:rPr>
          <w:rFonts w:ascii="Arial" w:eastAsia="Times New Roman" w:hAnsi="Arial" w:cs="Arial"/>
        </w:rPr>
        <w:t>as Board Chair. The other two members of the EFRB must hold the rank o</w:t>
      </w:r>
      <w:r w:rsidR="00B1377C" w:rsidRPr="00E13F47">
        <w:rPr>
          <w:rFonts w:ascii="Arial" w:eastAsia="Times New Roman" w:hAnsi="Arial" w:cs="Arial"/>
        </w:rPr>
        <w:t xml:space="preserve">f Captain of Police or higher. </w:t>
      </w:r>
      <w:r w:rsidRPr="00E13F47">
        <w:rPr>
          <w:rFonts w:ascii="Arial" w:eastAsia="Times New Roman" w:hAnsi="Arial" w:cs="Arial"/>
        </w:rPr>
        <w:t>The boards have two duties</w:t>
      </w:r>
      <w:r w:rsidR="000E7D6B">
        <w:rPr>
          <w:rFonts w:ascii="Arial" w:eastAsia="Times New Roman" w:hAnsi="Arial" w:cs="Arial"/>
        </w:rPr>
        <w:t xml:space="preserve">: </w:t>
      </w:r>
      <w:r w:rsidR="00A108D8">
        <w:rPr>
          <w:rFonts w:ascii="Arial" w:eastAsia="Times New Roman" w:hAnsi="Arial" w:cs="Arial"/>
        </w:rPr>
        <w:t xml:space="preserve">1) </w:t>
      </w:r>
      <w:r w:rsidRPr="00E13F47">
        <w:rPr>
          <w:rFonts w:ascii="Arial" w:eastAsia="Times New Roman" w:hAnsi="Arial" w:cs="Arial"/>
        </w:rPr>
        <w:t>Determine whether the use of force complied with departmental policy</w:t>
      </w:r>
      <w:r w:rsidR="003E592A" w:rsidRPr="00E13F47">
        <w:rPr>
          <w:rFonts w:ascii="Arial" w:eastAsia="Times New Roman" w:hAnsi="Arial" w:cs="Arial"/>
        </w:rPr>
        <w:t>; and</w:t>
      </w:r>
      <w:r w:rsidR="00A108D8">
        <w:rPr>
          <w:rFonts w:ascii="Arial" w:eastAsia="Times New Roman" w:hAnsi="Arial" w:cs="Arial"/>
        </w:rPr>
        <w:t xml:space="preserve"> 2) </w:t>
      </w:r>
      <w:r w:rsidRPr="00E13F47">
        <w:rPr>
          <w:rFonts w:ascii="Arial" w:eastAsia="Times New Roman" w:hAnsi="Arial" w:cs="Arial"/>
        </w:rPr>
        <w:t>Identify any needed policy revision</w:t>
      </w:r>
      <w:r w:rsidR="003E592A" w:rsidRPr="00E13F47">
        <w:rPr>
          <w:rFonts w:ascii="Arial" w:eastAsia="Times New Roman" w:hAnsi="Arial" w:cs="Arial"/>
        </w:rPr>
        <w:t>s</w:t>
      </w:r>
      <w:r w:rsidRPr="00E13F47">
        <w:rPr>
          <w:rFonts w:ascii="Arial" w:eastAsia="Times New Roman" w:hAnsi="Arial" w:cs="Arial"/>
        </w:rPr>
        <w:t xml:space="preserve"> </w:t>
      </w:r>
      <w:r w:rsidR="003E592A" w:rsidRPr="00E13F47">
        <w:rPr>
          <w:rFonts w:ascii="Arial" w:eastAsia="Times New Roman" w:hAnsi="Arial" w:cs="Arial"/>
        </w:rPr>
        <w:t xml:space="preserve">identified </w:t>
      </w:r>
      <w:r w:rsidRPr="00E13F47">
        <w:rPr>
          <w:rFonts w:ascii="Arial" w:eastAsia="Times New Roman" w:hAnsi="Arial" w:cs="Arial"/>
        </w:rPr>
        <w:t>from the investigation.</w:t>
      </w:r>
      <w:r w:rsidR="006962DC">
        <w:rPr>
          <w:rFonts w:ascii="Arial" w:eastAsia="Times New Roman" w:hAnsi="Arial" w:cs="Arial"/>
        </w:rPr>
        <w:t xml:space="preserve"> </w:t>
      </w:r>
      <w:r w:rsidRPr="00E13F47">
        <w:rPr>
          <w:rFonts w:ascii="Arial" w:eastAsia="Times New Roman" w:hAnsi="Arial" w:cs="Arial"/>
        </w:rPr>
        <w:t xml:space="preserve">In </w:t>
      </w:r>
      <w:r w:rsidR="00C45F90" w:rsidRPr="00E13F47">
        <w:rPr>
          <w:rFonts w:ascii="Arial" w:eastAsia="Times New Roman" w:hAnsi="Arial" w:cs="Arial"/>
        </w:rPr>
        <w:t xml:space="preserve">the </w:t>
      </w:r>
      <w:r w:rsidR="00ED108A" w:rsidRPr="00E13F47">
        <w:rPr>
          <w:rFonts w:ascii="Arial" w:eastAsia="Times New Roman" w:hAnsi="Arial" w:cs="Arial"/>
        </w:rPr>
        <w:t>first half of 201</w:t>
      </w:r>
      <w:r w:rsidR="00753C4F" w:rsidRPr="00E13F47">
        <w:rPr>
          <w:rFonts w:ascii="Arial" w:eastAsia="Times New Roman" w:hAnsi="Arial" w:cs="Arial"/>
        </w:rPr>
        <w:t>9</w:t>
      </w:r>
      <w:r w:rsidR="00ED108A" w:rsidRPr="00E13F47">
        <w:rPr>
          <w:rFonts w:ascii="Arial" w:eastAsia="Times New Roman" w:hAnsi="Arial" w:cs="Arial"/>
        </w:rPr>
        <w:t xml:space="preserve">, </w:t>
      </w:r>
      <w:r w:rsidR="000D1D52" w:rsidRPr="00E13F47">
        <w:rPr>
          <w:rFonts w:ascii="Arial" w:eastAsia="Times New Roman" w:hAnsi="Arial" w:cs="Arial"/>
        </w:rPr>
        <w:t xml:space="preserve">12 </w:t>
      </w:r>
      <w:r w:rsidR="00ED108A" w:rsidRPr="00E13F47">
        <w:rPr>
          <w:rFonts w:ascii="Arial" w:eastAsia="Times New Roman" w:hAnsi="Arial" w:cs="Arial"/>
        </w:rPr>
        <w:t>board</w:t>
      </w:r>
      <w:r w:rsidR="00274596" w:rsidRPr="00E13F47">
        <w:rPr>
          <w:rFonts w:ascii="Arial" w:eastAsia="Times New Roman" w:hAnsi="Arial" w:cs="Arial"/>
        </w:rPr>
        <w:t xml:space="preserve">s </w:t>
      </w:r>
      <w:r w:rsidR="00ED108A" w:rsidRPr="00E13F47">
        <w:rPr>
          <w:rFonts w:ascii="Arial" w:eastAsia="Times New Roman" w:hAnsi="Arial" w:cs="Arial"/>
        </w:rPr>
        <w:t xml:space="preserve">reviewed </w:t>
      </w:r>
      <w:r w:rsidR="000D1D52" w:rsidRPr="00E13F47">
        <w:rPr>
          <w:rFonts w:ascii="Arial" w:eastAsia="Times New Roman" w:hAnsi="Arial" w:cs="Arial"/>
        </w:rPr>
        <w:t xml:space="preserve">62 </w:t>
      </w:r>
      <w:r w:rsidR="00ED108A" w:rsidRPr="00E13F47">
        <w:rPr>
          <w:rFonts w:ascii="Arial" w:eastAsia="Times New Roman" w:hAnsi="Arial" w:cs="Arial"/>
        </w:rPr>
        <w:t>uses of force</w:t>
      </w:r>
      <w:r w:rsidR="000D1D52" w:rsidRPr="00E13F47">
        <w:rPr>
          <w:rFonts w:ascii="Arial" w:eastAsia="Times New Roman" w:hAnsi="Arial" w:cs="Arial"/>
        </w:rPr>
        <w:t xml:space="preserve">. </w:t>
      </w:r>
      <w:r w:rsidR="00F44CBD">
        <w:rPr>
          <w:rFonts w:ascii="Arial" w:eastAsia="Times New Roman" w:hAnsi="Arial" w:cs="Arial"/>
        </w:rPr>
        <w:t xml:space="preserve">The details of the force </w:t>
      </w:r>
      <w:r w:rsidR="004757C4">
        <w:rPr>
          <w:rFonts w:ascii="Arial" w:eastAsia="Times New Roman" w:hAnsi="Arial" w:cs="Arial"/>
        </w:rPr>
        <w:t xml:space="preserve">types </w:t>
      </w:r>
      <w:r w:rsidR="000E7D6B">
        <w:rPr>
          <w:rFonts w:ascii="Arial" w:eastAsia="Times New Roman" w:hAnsi="Arial" w:cs="Arial"/>
        </w:rPr>
        <w:t xml:space="preserve">reviewed in the </w:t>
      </w:r>
      <w:r w:rsidR="00F44CBD">
        <w:rPr>
          <w:rFonts w:ascii="Arial" w:eastAsia="Times New Roman" w:hAnsi="Arial" w:cs="Arial"/>
        </w:rPr>
        <w:t>boards are</w:t>
      </w:r>
      <w:r w:rsidR="000E7CC9">
        <w:rPr>
          <w:rFonts w:ascii="Arial" w:eastAsia="Times New Roman" w:hAnsi="Arial" w:cs="Arial"/>
        </w:rPr>
        <w:t xml:space="preserve"> set </w:t>
      </w:r>
      <w:r w:rsidR="004757C4">
        <w:rPr>
          <w:rFonts w:ascii="Arial" w:eastAsia="Times New Roman" w:hAnsi="Arial" w:cs="Arial"/>
        </w:rPr>
        <w:t xml:space="preserve">forth </w:t>
      </w:r>
      <w:r w:rsidR="000E7CC9">
        <w:rPr>
          <w:rFonts w:ascii="Arial" w:eastAsia="Times New Roman" w:hAnsi="Arial" w:cs="Arial"/>
        </w:rPr>
        <w:t xml:space="preserve">in </w:t>
      </w:r>
      <w:r w:rsidR="0039313A">
        <w:rPr>
          <w:rFonts w:ascii="Arial" w:eastAsia="Times New Roman" w:hAnsi="Arial" w:cs="Arial"/>
        </w:rPr>
        <w:t xml:space="preserve">Chart C </w:t>
      </w:r>
      <w:r w:rsidR="000E7CC9">
        <w:rPr>
          <w:rFonts w:ascii="Arial" w:eastAsia="Times New Roman" w:hAnsi="Arial" w:cs="Arial"/>
        </w:rPr>
        <w:t>in the Appendix.</w:t>
      </w:r>
    </w:p>
    <w:p w14:paraId="16194630" w14:textId="77777777" w:rsidR="002B021E" w:rsidRPr="00E13F47" w:rsidRDefault="002B021E" w:rsidP="00C912B0">
      <w:pPr>
        <w:shd w:val="clear" w:color="auto" w:fill="FFFFFF"/>
        <w:jc w:val="both"/>
        <w:rPr>
          <w:rFonts w:ascii="Arial" w:eastAsia="Times New Roman" w:hAnsi="Arial" w:cs="Arial"/>
        </w:rPr>
      </w:pPr>
    </w:p>
    <w:p w14:paraId="0C0E94F2" w14:textId="743BA6E2" w:rsidR="005869A3" w:rsidRPr="00E13F47" w:rsidRDefault="00B1096B" w:rsidP="00C912B0">
      <w:pPr>
        <w:spacing w:after="200"/>
        <w:jc w:val="both"/>
        <w:rPr>
          <w:rFonts w:ascii="Arial" w:eastAsia="Times New Roman" w:hAnsi="Arial" w:cs="Arial"/>
          <w:b/>
        </w:rPr>
      </w:pPr>
      <w:r w:rsidRPr="00E13F47">
        <w:rPr>
          <w:rFonts w:ascii="Arial" w:eastAsia="Times New Roman" w:hAnsi="Arial" w:cs="Arial"/>
          <w:b/>
        </w:rPr>
        <w:t>DEPARTMENT DEMOGRAPHICS</w:t>
      </w:r>
    </w:p>
    <w:p w14:paraId="297B89D5" w14:textId="0CC5D5C6" w:rsidR="00D7006F" w:rsidRPr="00E13F47" w:rsidRDefault="00340AD9" w:rsidP="00C912B0">
      <w:pPr>
        <w:spacing w:after="200"/>
        <w:jc w:val="both"/>
        <w:rPr>
          <w:rFonts w:ascii="Arial" w:eastAsia="Times New Roman" w:hAnsi="Arial" w:cs="Arial"/>
          <w:bCs/>
        </w:rPr>
      </w:pPr>
      <w:r w:rsidRPr="00E13F47">
        <w:rPr>
          <w:rFonts w:ascii="Arial" w:eastAsia="Times New Roman" w:hAnsi="Arial" w:cs="Arial"/>
          <w:bCs/>
        </w:rPr>
        <w:t xml:space="preserve">OPD continues to </w:t>
      </w:r>
      <w:r w:rsidR="001B61D0" w:rsidRPr="00E13F47">
        <w:rPr>
          <w:rFonts w:ascii="Arial" w:eastAsia="Times New Roman" w:hAnsi="Arial" w:cs="Arial"/>
          <w:bCs/>
        </w:rPr>
        <w:t xml:space="preserve">make progress to </w:t>
      </w:r>
      <w:r w:rsidR="00307072" w:rsidRPr="00E13F47">
        <w:rPr>
          <w:rFonts w:ascii="Arial" w:eastAsia="Times New Roman" w:hAnsi="Arial" w:cs="Arial"/>
          <w:bCs/>
        </w:rPr>
        <w:t>hire</w:t>
      </w:r>
      <w:r w:rsidR="00767FDB" w:rsidRPr="00E13F47">
        <w:rPr>
          <w:rFonts w:ascii="Arial" w:eastAsia="Times New Roman" w:hAnsi="Arial" w:cs="Arial"/>
          <w:bCs/>
        </w:rPr>
        <w:t>, train</w:t>
      </w:r>
      <w:r w:rsidR="00307072" w:rsidRPr="00E13F47">
        <w:rPr>
          <w:rFonts w:ascii="Arial" w:eastAsia="Times New Roman" w:hAnsi="Arial" w:cs="Arial"/>
          <w:bCs/>
        </w:rPr>
        <w:t xml:space="preserve"> and retain a diverse workforce.  </w:t>
      </w:r>
      <w:r w:rsidR="002B49D4" w:rsidRPr="00E13F47">
        <w:rPr>
          <w:rFonts w:ascii="Arial" w:eastAsia="Times New Roman" w:hAnsi="Arial" w:cs="Arial"/>
          <w:bCs/>
        </w:rPr>
        <w:t xml:space="preserve">Outlined below are the </w:t>
      </w:r>
      <w:r w:rsidR="0012784A" w:rsidRPr="00E13F47">
        <w:rPr>
          <w:rFonts w:ascii="Arial" w:eastAsia="Times New Roman" w:hAnsi="Arial" w:cs="Arial"/>
          <w:bCs/>
        </w:rPr>
        <w:t>OPD</w:t>
      </w:r>
      <w:r w:rsidR="00307072" w:rsidRPr="00E13F47">
        <w:rPr>
          <w:rFonts w:ascii="Arial" w:eastAsia="Times New Roman" w:hAnsi="Arial" w:cs="Arial"/>
          <w:bCs/>
        </w:rPr>
        <w:t xml:space="preserve"> </w:t>
      </w:r>
      <w:r w:rsidR="002B49D4" w:rsidRPr="00E13F47">
        <w:rPr>
          <w:rFonts w:ascii="Arial" w:eastAsia="Times New Roman" w:hAnsi="Arial" w:cs="Arial"/>
          <w:bCs/>
        </w:rPr>
        <w:t xml:space="preserve">demographics as </w:t>
      </w:r>
      <w:r w:rsidR="00307072" w:rsidRPr="00E13F47">
        <w:rPr>
          <w:rFonts w:ascii="Arial" w:eastAsia="Times New Roman" w:hAnsi="Arial" w:cs="Arial"/>
          <w:bCs/>
        </w:rPr>
        <w:t>of June 30, 2019</w:t>
      </w:r>
      <w:r w:rsidR="00D7006F" w:rsidRPr="00E13F47">
        <w:rPr>
          <w:rFonts w:ascii="Arial" w:eastAsia="Times New Roman" w:hAnsi="Arial" w:cs="Arial"/>
          <w:bCs/>
        </w:rPr>
        <w:t>.</w:t>
      </w:r>
      <w:r w:rsidR="00FD2870">
        <w:rPr>
          <w:rFonts w:ascii="Arial" w:eastAsia="Times New Roman" w:hAnsi="Arial" w:cs="Arial"/>
          <w:bCs/>
        </w:rPr>
        <w:t xml:space="preserve"> More detailed charts with further breakdown, includi</w:t>
      </w:r>
      <w:r w:rsidR="00F52F0A">
        <w:rPr>
          <w:rFonts w:ascii="Arial" w:eastAsia="Times New Roman" w:hAnsi="Arial" w:cs="Arial"/>
          <w:bCs/>
        </w:rPr>
        <w:t>ng gender</w:t>
      </w:r>
      <w:r w:rsidR="002F1C7F">
        <w:rPr>
          <w:rFonts w:ascii="Arial" w:eastAsia="Times New Roman" w:hAnsi="Arial" w:cs="Arial"/>
          <w:bCs/>
        </w:rPr>
        <w:t xml:space="preserve"> are included as Table </w:t>
      </w:r>
      <w:r w:rsidR="00D33F2A">
        <w:rPr>
          <w:rFonts w:ascii="Arial" w:eastAsia="Times New Roman" w:hAnsi="Arial" w:cs="Arial"/>
          <w:bCs/>
        </w:rPr>
        <w:t>D</w:t>
      </w:r>
      <w:r w:rsidR="002F1C7F">
        <w:rPr>
          <w:rFonts w:ascii="Arial" w:eastAsia="Times New Roman" w:hAnsi="Arial" w:cs="Arial"/>
          <w:bCs/>
        </w:rPr>
        <w:t xml:space="preserve"> in the Appendix.</w:t>
      </w:r>
      <w:r w:rsidR="0066472F">
        <w:rPr>
          <w:rFonts w:ascii="Arial" w:eastAsia="Times New Roman" w:hAnsi="Arial" w:cs="Arial"/>
          <w:bCs/>
        </w:rPr>
        <w:t xml:space="preserve">  </w:t>
      </w:r>
      <w:r w:rsidR="00427B41">
        <w:rPr>
          <w:rFonts w:ascii="Arial" w:eastAsia="Times New Roman" w:hAnsi="Arial" w:cs="Arial"/>
          <w:bCs/>
        </w:rPr>
        <w:t xml:space="preserve">In 2019 OPD embarked on several innovative </w:t>
      </w:r>
      <w:r w:rsidR="004F74AD">
        <w:rPr>
          <w:rFonts w:ascii="Arial" w:eastAsia="Times New Roman" w:hAnsi="Arial" w:cs="Arial"/>
          <w:bCs/>
        </w:rPr>
        <w:t xml:space="preserve">locally focused </w:t>
      </w:r>
      <w:r w:rsidR="00427B41">
        <w:rPr>
          <w:rFonts w:ascii="Arial" w:eastAsia="Times New Roman" w:hAnsi="Arial" w:cs="Arial"/>
          <w:bCs/>
        </w:rPr>
        <w:t>recruitment campaigns</w:t>
      </w:r>
      <w:r w:rsidR="004F74AD">
        <w:rPr>
          <w:rFonts w:ascii="Arial" w:eastAsia="Times New Roman" w:hAnsi="Arial" w:cs="Arial"/>
          <w:bCs/>
        </w:rPr>
        <w:t xml:space="preserve">. The next report will </w:t>
      </w:r>
      <w:r w:rsidR="00535180">
        <w:rPr>
          <w:rFonts w:ascii="Arial" w:eastAsia="Times New Roman" w:hAnsi="Arial" w:cs="Arial"/>
          <w:bCs/>
        </w:rPr>
        <w:t>contain data showing the results of those efforts.</w:t>
      </w:r>
    </w:p>
    <w:p w14:paraId="7B6DC7CF" w14:textId="073DE896" w:rsidR="007109EA" w:rsidRDefault="002F66CF" w:rsidP="002F51F1">
      <w:pPr>
        <w:spacing w:after="200" w:line="276" w:lineRule="auto"/>
        <w:jc w:val="center"/>
        <w:rPr>
          <w:rFonts w:ascii="Arial" w:eastAsia="Times New Roman" w:hAnsi="Arial" w:cs="Arial"/>
          <w:bCs/>
        </w:rPr>
      </w:pPr>
      <w:r>
        <w:rPr>
          <w:noProof/>
        </w:rPr>
        <w:drawing>
          <wp:inline distT="0" distB="0" distL="0" distR="0" wp14:anchorId="6D10882C" wp14:editId="6AB839D3">
            <wp:extent cx="6361430" cy="2449195"/>
            <wp:effectExtent l="0" t="0" r="1270" b="8255"/>
            <wp:docPr id="10" name="Chart 10">
              <a:extLst xmlns:a="http://schemas.openxmlformats.org/drawingml/2006/main">
                <a:ext uri="{FF2B5EF4-FFF2-40B4-BE49-F238E27FC236}">
                  <a16:creationId xmlns:a16="http://schemas.microsoft.com/office/drawing/2014/main" id="{CB4B0119-17BC-4236-B45B-35BF502C67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56B8F97" w14:textId="51B5E193" w:rsidR="00FB6EA6" w:rsidRDefault="00C353E5" w:rsidP="002F51F1">
      <w:pPr>
        <w:spacing w:after="200" w:line="276" w:lineRule="auto"/>
        <w:jc w:val="center"/>
        <w:rPr>
          <w:rFonts w:ascii="Arial" w:eastAsia="Times New Roman" w:hAnsi="Arial" w:cs="Arial"/>
          <w:bCs/>
        </w:rPr>
      </w:pPr>
      <w:r>
        <w:rPr>
          <w:noProof/>
        </w:rPr>
        <w:lastRenderedPageBreak/>
        <w:drawing>
          <wp:inline distT="0" distB="0" distL="0" distR="0" wp14:anchorId="499BB372" wp14:editId="4D40A1BE">
            <wp:extent cx="6369685" cy="2745105"/>
            <wp:effectExtent l="0" t="0" r="12065" b="17145"/>
            <wp:docPr id="12" name="Chart 12">
              <a:extLst xmlns:a="http://schemas.openxmlformats.org/drawingml/2006/main">
                <a:ext uri="{FF2B5EF4-FFF2-40B4-BE49-F238E27FC236}">
                  <a16:creationId xmlns:a16="http://schemas.microsoft.com/office/drawing/2014/main" id="{5243EEFD-AC93-4BE6-859D-21145486BE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389F349" w14:textId="66CF3767" w:rsidR="0058746B" w:rsidRPr="00E13F47" w:rsidRDefault="0055376A" w:rsidP="002F51F1">
      <w:pPr>
        <w:spacing w:after="200" w:line="276" w:lineRule="auto"/>
        <w:jc w:val="center"/>
        <w:rPr>
          <w:rFonts w:ascii="Arial" w:eastAsia="Times New Roman" w:hAnsi="Arial" w:cs="Arial"/>
          <w:bCs/>
        </w:rPr>
      </w:pPr>
      <w:r>
        <w:rPr>
          <w:noProof/>
        </w:rPr>
        <w:drawing>
          <wp:inline distT="0" distB="0" distL="0" distR="0" wp14:anchorId="368D54E4" wp14:editId="787A9314">
            <wp:extent cx="6457950" cy="2543175"/>
            <wp:effectExtent l="0" t="0" r="0" b="9525"/>
            <wp:docPr id="3" name="Chart 3">
              <a:extLst xmlns:a="http://schemas.openxmlformats.org/drawingml/2006/main">
                <a:ext uri="{FF2B5EF4-FFF2-40B4-BE49-F238E27FC236}">
                  <a16:creationId xmlns:a16="http://schemas.microsoft.com/office/drawing/2014/main" id="{59132346-8A86-465F-A713-47BB644F8E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D56A53" w14:textId="66FA6A11" w:rsidR="00B1096B" w:rsidRPr="00E13F47" w:rsidRDefault="00FE60DC" w:rsidP="00AE24B1">
      <w:pPr>
        <w:spacing w:after="200" w:line="276" w:lineRule="auto"/>
        <w:jc w:val="both"/>
        <w:rPr>
          <w:rFonts w:ascii="Arial" w:eastAsia="Times New Roman" w:hAnsi="Arial" w:cs="Arial"/>
          <w:b/>
        </w:rPr>
      </w:pPr>
      <w:r w:rsidRPr="00E13F47">
        <w:rPr>
          <w:rFonts w:ascii="Arial" w:eastAsia="Times New Roman" w:hAnsi="Arial" w:cs="Arial"/>
          <w:b/>
        </w:rPr>
        <w:t>STATUS OF THE NEGOTIATED SETTLEMENT AGREEMENT</w:t>
      </w:r>
    </w:p>
    <w:p w14:paraId="55C59DE2" w14:textId="71F535B5" w:rsidR="00FE60DC" w:rsidRPr="00E13F47" w:rsidRDefault="006E4834" w:rsidP="00B707E6">
      <w:pPr>
        <w:spacing w:after="200"/>
        <w:jc w:val="both"/>
        <w:rPr>
          <w:rFonts w:ascii="Arial" w:eastAsia="Times New Roman" w:hAnsi="Arial" w:cs="Arial"/>
          <w:bCs/>
        </w:rPr>
      </w:pPr>
      <w:r w:rsidRPr="00E13F47">
        <w:rPr>
          <w:rFonts w:ascii="Arial" w:eastAsia="Times New Roman" w:hAnsi="Arial" w:cs="Arial"/>
          <w:bCs/>
        </w:rPr>
        <w:t xml:space="preserve">The City of Oakland's Negotiated Settlement Agreement (NSA) dates from January 22, 2003, when the City of Oakland and the Oakland Police Department entered into an agreement resolving allegations of police misconduct raised by private plaintiffs in the civil lawsuit, Delphine Allen, et al., v. City of Oakland, et al. The NSA requires police reforms in several areas, including </w:t>
      </w:r>
      <w:r w:rsidR="008A1F6E">
        <w:rPr>
          <w:rFonts w:ascii="Arial" w:eastAsia="Times New Roman" w:hAnsi="Arial" w:cs="Arial"/>
          <w:bCs/>
        </w:rPr>
        <w:t xml:space="preserve">data collection, </w:t>
      </w:r>
      <w:r w:rsidRPr="00E13F47">
        <w:rPr>
          <w:rFonts w:ascii="Arial" w:eastAsia="Times New Roman" w:hAnsi="Arial" w:cs="Arial"/>
          <w:bCs/>
        </w:rPr>
        <w:t>internal affairs, supervision of officers, police use of force, training, personnel practices, and community policing.</w:t>
      </w:r>
    </w:p>
    <w:p w14:paraId="3FBE3AC5" w14:textId="38399A59" w:rsidR="00E22704" w:rsidRDefault="00E22704" w:rsidP="00B707E6">
      <w:pPr>
        <w:spacing w:after="200"/>
        <w:jc w:val="both"/>
        <w:rPr>
          <w:rFonts w:ascii="Arial" w:eastAsia="Times New Roman" w:hAnsi="Arial" w:cs="Arial"/>
          <w:bCs/>
        </w:rPr>
      </w:pPr>
      <w:r w:rsidRPr="00E13F47">
        <w:rPr>
          <w:rFonts w:ascii="Arial" w:eastAsia="Times New Roman" w:hAnsi="Arial" w:cs="Arial"/>
          <w:bCs/>
        </w:rPr>
        <w:t>The</w:t>
      </w:r>
      <w:r w:rsidR="00D21B32" w:rsidRPr="00E13F47">
        <w:rPr>
          <w:rFonts w:ascii="Arial" w:eastAsia="Times New Roman" w:hAnsi="Arial" w:cs="Arial"/>
          <w:bCs/>
        </w:rPr>
        <w:t xml:space="preserve"> specific details of the </w:t>
      </w:r>
      <w:r w:rsidRPr="00E13F47">
        <w:rPr>
          <w:rFonts w:ascii="Arial" w:eastAsia="Times New Roman" w:hAnsi="Arial" w:cs="Arial"/>
          <w:bCs/>
        </w:rPr>
        <w:t xml:space="preserve">reforms </w:t>
      </w:r>
      <w:r w:rsidR="00D21B32" w:rsidRPr="00E13F47">
        <w:rPr>
          <w:rFonts w:ascii="Arial" w:eastAsia="Times New Roman" w:hAnsi="Arial" w:cs="Arial"/>
          <w:bCs/>
        </w:rPr>
        <w:t>a</w:t>
      </w:r>
      <w:r w:rsidRPr="00E13F47">
        <w:rPr>
          <w:rFonts w:ascii="Arial" w:eastAsia="Times New Roman" w:hAnsi="Arial" w:cs="Arial"/>
          <w:bCs/>
        </w:rPr>
        <w:t xml:space="preserve">re embodied in </w:t>
      </w:r>
      <w:r w:rsidR="007834C4" w:rsidRPr="00E13F47">
        <w:rPr>
          <w:rFonts w:ascii="Arial" w:eastAsia="Times New Roman" w:hAnsi="Arial" w:cs="Arial"/>
          <w:bCs/>
        </w:rPr>
        <w:t xml:space="preserve">the 51 enumerated tasks in the NSA. </w:t>
      </w:r>
      <w:r w:rsidR="008910C7" w:rsidRPr="00E13F47">
        <w:rPr>
          <w:rFonts w:ascii="Arial" w:eastAsia="Times New Roman" w:hAnsi="Arial" w:cs="Arial"/>
          <w:bCs/>
        </w:rPr>
        <w:t>Currently, the City is fully compliant with 44</w:t>
      </w:r>
      <w:r w:rsidR="0029699F" w:rsidRPr="00E13F47">
        <w:rPr>
          <w:rFonts w:ascii="Arial" w:eastAsia="Times New Roman" w:hAnsi="Arial" w:cs="Arial"/>
          <w:bCs/>
        </w:rPr>
        <w:t xml:space="preserve"> tasks, in partial compliance with 4 tasks, and out of compliance wit</w:t>
      </w:r>
      <w:r w:rsidR="0085609E" w:rsidRPr="00E13F47">
        <w:rPr>
          <w:rFonts w:ascii="Arial" w:eastAsia="Times New Roman" w:hAnsi="Arial" w:cs="Arial"/>
          <w:bCs/>
        </w:rPr>
        <w:t xml:space="preserve">h 3 tasks.  </w:t>
      </w:r>
      <w:r w:rsidR="000F4483" w:rsidRPr="00E13F47">
        <w:rPr>
          <w:rFonts w:ascii="Arial" w:eastAsia="Times New Roman" w:hAnsi="Arial" w:cs="Arial"/>
          <w:bCs/>
        </w:rPr>
        <w:t xml:space="preserve">OPD receives </w:t>
      </w:r>
      <w:r w:rsidR="00096B33" w:rsidRPr="00E13F47">
        <w:rPr>
          <w:rFonts w:ascii="Arial" w:eastAsia="Times New Roman" w:hAnsi="Arial" w:cs="Arial"/>
          <w:bCs/>
        </w:rPr>
        <w:t>monthly review and</w:t>
      </w:r>
      <w:r w:rsidR="000F4483" w:rsidRPr="00E13F47">
        <w:rPr>
          <w:rFonts w:ascii="Arial" w:eastAsia="Times New Roman" w:hAnsi="Arial" w:cs="Arial"/>
          <w:bCs/>
        </w:rPr>
        <w:t xml:space="preserve"> </w:t>
      </w:r>
      <w:r w:rsidR="007F3B8C">
        <w:rPr>
          <w:rFonts w:ascii="Arial" w:eastAsia="Times New Roman" w:hAnsi="Arial" w:cs="Arial"/>
          <w:bCs/>
        </w:rPr>
        <w:t xml:space="preserve">technical </w:t>
      </w:r>
      <w:r w:rsidR="006B7BDF" w:rsidRPr="00E13F47">
        <w:rPr>
          <w:rFonts w:ascii="Arial" w:eastAsia="Times New Roman" w:hAnsi="Arial" w:cs="Arial"/>
          <w:bCs/>
        </w:rPr>
        <w:t xml:space="preserve">assistance from the Independent Monitoring Team on each of the tasks that remain to be completed.  </w:t>
      </w:r>
      <w:r w:rsidR="00401B1D">
        <w:rPr>
          <w:rFonts w:ascii="Arial" w:eastAsia="Times New Roman" w:hAnsi="Arial" w:cs="Arial"/>
          <w:bCs/>
        </w:rPr>
        <w:t>Deta</w:t>
      </w:r>
      <w:r w:rsidR="00D57253">
        <w:rPr>
          <w:rFonts w:ascii="Arial" w:eastAsia="Times New Roman" w:hAnsi="Arial" w:cs="Arial"/>
          <w:bCs/>
        </w:rPr>
        <w:t>ils related to each task</w:t>
      </w:r>
      <w:r w:rsidR="003E3FAD">
        <w:rPr>
          <w:rFonts w:ascii="Arial" w:eastAsia="Times New Roman" w:hAnsi="Arial" w:cs="Arial"/>
          <w:bCs/>
        </w:rPr>
        <w:t xml:space="preserve"> not yet in compliance is contained in the Appendix</w:t>
      </w:r>
      <w:r w:rsidR="00535180">
        <w:rPr>
          <w:rFonts w:ascii="Arial" w:eastAsia="Times New Roman" w:hAnsi="Arial" w:cs="Arial"/>
          <w:bCs/>
        </w:rPr>
        <w:t xml:space="preserve"> in Table </w:t>
      </w:r>
      <w:r w:rsidR="00D33F2A">
        <w:rPr>
          <w:rFonts w:ascii="Arial" w:eastAsia="Times New Roman" w:hAnsi="Arial" w:cs="Arial"/>
          <w:bCs/>
        </w:rPr>
        <w:t>E</w:t>
      </w:r>
      <w:r w:rsidR="00352D7E">
        <w:rPr>
          <w:rFonts w:ascii="Arial" w:eastAsia="Times New Roman" w:hAnsi="Arial" w:cs="Arial"/>
          <w:bCs/>
        </w:rPr>
        <w:t>.</w:t>
      </w:r>
      <w:r w:rsidR="006E340B">
        <w:rPr>
          <w:rFonts w:ascii="Arial" w:eastAsia="Times New Roman" w:hAnsi="Arial" w:cs="Arial"/>
          <w:bCs/>
        </w:rPr>
        <w:t xml:space="preserve">  The Department </w:t>
      </w:r>
      <w:r w:rsidR="007F3B8C">
        <w:rPr>
          <w:rFonts w:ascii="Arial" w:eastAsia="Times New Roman" w:hAnsi="Arial" w:cs="Arial"/>
          <w:bCs/>
        </w:rPr>
        <w:t xml:space="preserve">is working to </w:t>
      </w:r>
      <w:r w:rsidR="004310DA">
        <w:rPr>
          <w:rFonts w:ascii="Arial" w:eastAsia="Times New Roman" w:hAnsi="Arial" w:cs="Arial"/>
          <w:bCs/>
        </w:rPr>
        <w:t>achieve compliance with each of these tasks and develop</w:t>
      </w:r>
      <w:r w:rsidR="006638B2">
        <w:rPr>
          <w:rFonts w:ascii="Arial" w:eastAsia="Times New Roman" w:hAnsi="Arial" w:cs="Arial"/>
          <w:bCs/>
        </w:rPr>
        <w:t xml:space="preserve"> sustainable internal processes</w:t>
      </w:r>
      <w:r w:rsidR="00E41D56">
        <w:rPr>
          <w:rFonts w:ascii="Arial" w:eastAsia="Times New Roman" w:hAnsi="Arial" w:cs="Arial"/>
          <w:bCs/>
        </w:rPr>
        <w:t xml:space="preserve"> </w:t>
      </w:r>
      <w:r w:rsidR="0031453C">
        <w:rPr>
          <w:rFonts w:ascii="Arial" w:eastAsia="Times New Roman" w:hAnsi="Arial" w:cs="Arial"/>
          <w:bCs/>
        </w:rPr>
        <w:t xml:space="preserve">and best policing practices.  </w:t>
      </w:r>
    </w:p>
    <w:p w14:paraId="7E451971" w14:textId="63C85035" w:rsidR="007B36F2" w:rsidRDefault="00D57253" w:rsidP="00AE24B1">
      <w:pPr>
        <w:spacing w:after="200" w:line="276" w:lineRule="auto"/>
        <w:jc w:val="both"/>
        <w:rPr>
          <w:rFonts w:ascii="Arial" w:eastAsia="Times New Roman" w:hAnsi="Arial" w:cs="Arial"/>
          <w:bCs/>
        </w:rPr>
      </w:pPr>
      <w:r>
        <w:rPr>
          <w:noProof/>
        </w:rPr>
        <w:lastRenderedPageBreak/>
        <w:drawing>
          <wp:inline distT="0" distB="0" distL="0" distR="0" wp14:anchorId="01D4F1BD" wp14:editId="49E110B7">
            <wp:extent cx="6419850" cy="2295525"/>
            <wp:effectExtent l="0" t="0" r="0" b="9525"/>
            <wp:docPr id="1" name="Chart 1">
              <a:extLst xmlns:a="http://schemas.openxmlformats.org/drawingml/2006/main">
                <a:ext uri="{FF2B5EF4-FFF2-40B4-BE49-F238E27FC236}">
                  <a16:creationId xmlns:a16="http://schemas.microsoft.com/office/drawing/2014/main" id="{3AC14231-A3CC-4647-A6DB-992FD9F047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A53D03" w14:textId="48D33D96" w:rsidR="005B5391" w:rsidRPr="00A96371" w:rsidRDefault="006962DC" w:rsidP="009E1AA2">
      <w:pPr>
        <w:spacing w:after="200"/>
        <w:jc w:val="both"/>
        <w:rPr>
          <w:rFonts w:ascii="Arial" w:eastAsia="Times New Roman" w:hAnsi="Arial" w:cs="Arial"/>
        </w:rPr>
      </w:pPr>
      <w:r>
        <w:rPr>
          <w:rFonts w:ascii="Arial" w:eastAsia="Times New Roman" w:hAnsi="Arial" w:cs="Arial"/>
        </w:rPr>
        <w:t xml:space="preserve">Nearly all </w:t>
      </w:r>
      <w:r w:rsidR="00A96371">
        <w:rPr>
          <w:rFonts w:ascii="Arial" w:eastAsia="Times New Roman" w:hAnsi="Arial" w:cs="Arial"/>
        </w:rPr>
        <w:t>of the 50 r</w:t>
      </w:r>
      <w:r w:rsidRPr="00E13F47">
        <w:rPr>
          <w:rFonts w:ascii="Arial" w:eastAsia="Times New Roman" w:hAnsi="Arial" w:cs="Arial"/>
        </w:rPr>
        <w:t xml:space="preserve">ecommendations in Stanford’s </w:t>
      </w:r>
      <w:hyperlink r:id="rId26" w:history="1">
        <w:r w:rsidRPr="00E13F47">
          <w:rPr>
            <w:rStyle w:val="Hyperlink"/>
            <w:rFonts w:ascii="Arial" w:eastAsia="Times New Roman" w:hAnsi="Arial" w:cs="Arial"/>
          </w:rPr>
          <w:t>Data for Change</w:t>
        </w:r>
      </w:hyperlink>
      <w:r>
        <w:rPr>
          <w:rStyle w:val="Hyperlink"/>
          <w:rFonts w:ascii="Arial" w:eastAsia="Times New Roman" w:hAnsi="Arial" w:cs="Arial"/>
          <w:u w:val="none"/>
        </w:rPr>
        <w:t xml:space="preserve"> r</w:t>
      </w:r>
      <w:r w:rsidRPr="00E13F47">
        <w:rPr>
          <w:rFonts w:ascii="Arial" w:eastAsia="Times New Roman" w:hAnsi="Arial" w:cs="Arial"/>
        </w:rPr>
        <w:t>eport t</w:t>
      </w:r>
      <w:r>
        <w:rPr>
          <w:rFonts w:ascii="Arial" w:eastAsia="Times New Roman" w:hAnsi="Arial" w:cs="Arial"/>
        </w:rPr>
        <w:t>hat created strategies to</w:t>
      </w:r>
      <w:r w:rsidRPr="00E13F47">
        <w:rPr>
          <w:rFonts w:ascii="Arial" w:eastAsia="Times New Roman" w:hAnsi="Arial" w:cs="Arial"/>
        </w:rPr>
        <w:t xml:space="preserve"> address implicit bias and racial disparities in policing</w:t>
      </w:r>
      <w:r>
        <w:rPr>
          <w:rFonts w:ascii="Arial" w:eastAsia="Times New Roman" w:hAnsi="Arial" w:cs="Arial"/>
        </w:rPr>
        <w:t xml:space="preserve"> have been implemented</w:t>
      </w:r>
      <w:r w:rsidRPr="00E13F47">
        <w:rPr>
          <w:rFonts w:ascii="Arial" w:eastAsia="Times New Roman" w:hAnsi="Arial" w:cs="Arial"/>
        </w:rPr>
        <w:t>.</w:t>
      </w:r>
      <w:r w:rsidR="00FA49A9">
        <w:rPr>
          <w:rFonts w:ascii="Arial" w:eastAsia="Times New Roman" w:hAnsi="Arial" w:cs="Arial"/>
        </w:rPr>
        <w:t xml:space="preserve">  Forty-seven recommendations have been completely implemented. Of the three outstanding recommendations, two are related to the imp</w:t>
      </w:r>
      <w:r w:rsidR="00A96371">
        <w:rPr>
          <w:rFonts w:ascii="Arial" w:eastAsia="Times New Roman" w:hAnsi="Arial" w:cs="Arial"/>
        </w:rPr>
        <w:t>leme</w:t>
      </w:r>
      <w:r w:rsidR="00FA49A9">
        <w:rPr>
          <w:rFonts w:ascii="Arial" w:eastAsia="Times New Roman" w:hAnsi="Arial" w:cs="Arial"/>
        </w:rPr>
        <w:t xml:space="preserve">ntation of the updated </w:t>
      </w:r>
      <w:r w:rsidR="00A96371">
        <w:rPr>
          <w:rFonts w:ascii="Arial" w:eastAsia="Times New Roman" w:hAnsi="Arial" w:cs="Arial"/>
        </w:rPr>
        <w:t>data collection system that is described below, which is rolling out in phases and should be completely operational in the first quarter of 2020.  The last recommendation relates to hiring a data manager/analyst for the Department to facilitate meaningful analysis of the data from the new data collection system when it becomes operational.</w:t>
      </w:r>
    </w:p>
    <w:p w14:paraId="1582F287" w14:textId="77777777" w:rsidR="005616A1" w:rsidRPr="00E13F47" w:rsidRDefault="005616A1" w:rsidP="005616A1">
      <w:pPr>
        <w:shd w:val="clear" w:color="auto" w:fill="FFFFFF"/>
        <w:jc w:val="both"/>
        <w:rPr>
          <w:rFonts w:ascii="Arial" w:eastAsia="Times New Roman" w:hAnsi="Arial" w:cs="Arial"/>
          <w:b/>
          <w:u w:val="single"/>
        </w:rPr>
      </w:pPr>
      <w:r w:rsidRPr="00E13F47">
        <w:rPr>
          <w:rFonts w:ascii="Arial" w:eastAsia="Times New Roman" w:hAnsi="Arial" w:cs="Arial"/>
          <w:b/>
          <w:u w:val="single"/>
        </w:rPr>
        <w:t>DATA COLLECTION</w:t>
      </w:r>
    </w:p>
    <w:p w14:paraId="5B9EE5B4" w14:textId="77777777" w:rsidR="005616A1" w:rsidRPr="00E13F47" w:rsidRDefault="005616A1" w:rsidP="005616A1">
      <w:pPr>
        <w:shd w:val="clear" w:color="auto" w:fill="FFFFFF"/>
        <w:jc w:val="both"/>
        <w:rPr>
          <w:rFonts w:ascii="Arial" w:eastAsia="Times New Roman" w:hAnsi="Arial" w:cs="Arial"/>
          <w:b/>
          <w:u w:val="single"/>
        </w:rPr>
      </w:pPr>
    </w:p>
    <w:p w14:paraId="79DF2139" w14:textId="6D00CF94" w:rsidR="005616A1" w:rsidRPr="00E13F47" w:rsidRDefault="005616A1" w:rsidP="005616A1">
      <w:pPr>
        <w:shd w:val="clear" w:color="auto" w:fill="FFFFFF"/>
        <w:jc w:val="both"/>
        <w:rPr>
          <w:rFonts w:ascii="Arial" w:eastAsia="Times New Roman" w:hAnsi="Arial" w:cs="Arial"/>
          <w:bCs/>
        </w:rPr>
      </w:pPr>
      <w:r w:rsidRPr="00E13F47">
        <w:rPr>
          <w:rFonts w:ascii="Arial" w:eastAsia="Times New Roman" w:hAnsi="Arial" w:cs="Arial"/>
          <w:bCs/>
        </w:rPr>
        <w:t>For many years OPD has collected data related to department activities, especially related to interactions with the public and employee activity</w:t>
      </w:r>
      <w:r>
        <w:rPr>
          <w:rFonts w:ascii="Arial" w:eastAsia="Times New Roman" w:hAnsi="Arial" w:cs="Arial"/>
          <w:bCs/>
        </w:rPr>
        <w:t xml:space="preserve"> and conduct</w:t>
      </w:r>
      <w:r w:rsidRPr="00E13F47">
        <w:rPr>
          <w:rFonts w:ascii="Arial" w:eastAsia="Times New Roman" w:hAnsi="Arial" w:cs="Arial"/>
          <w:bCs/>
        </w:rPr>
        <w:t>.</w:t>
      </w:r>
      <w:r>
        <w:rPr>
          <w:rFonts w:ascii="Arial" w:eastAsia="Times New Roman" w:hAnsi="Arial" w:cs="Arial"/>
          <w:bCs/>
        </w:rPr>
        <w:t xml:space="preserve"> </w:t>
      </w:r>
      <w:r w:rsidRPr="00E13F47">
        <w:rPr>
          <w:rFonts w:ascii="Arial" w:eastAsia="Times New Roman" w:hAnsi="Arial" w:cs="Arial"/>
          <w:bCs/>
        </w:rPr>
        <w:t xml:space="preserve">The collection systems and databases have evolved with technology from simple tools to a complex relational database. In late 2019, OPD will implement the latest iteration of their data collection system called “Vision” that will provide additional tools to capture and evaluate the data. This database includes details of police stops, complaints, uses of force, pursuits and accidents. The information collected in Vision assists supervisors and managers in managing employee performance. Reports from the system inform the Performance Assessment System (PAS) and </w:t>
      </w:r>
      <w:r>
        <w:rPr>
          <w:rFonts w:ascii="Arial" w:eastAsia="Times New Roman" w:hAnsi="Arial" w:cs="Arial"/>
          <w:bCs/>
        </w:rPr>
        <w:t xml:space="preserve">the </w:t>
      </w:r>
      <w:r w:rsidRPr="00E13F47">
        <w:rPr>
          <w:rFonts w:ascii="Arial" w:eastAsia="Times New Roman" w:hAnsi="Arial" w:cs="Arial"/>
          <w:bCs/>
        </w:rPr>
        <w:t xml:space="preserve">regular review of stop data. In 2020, there will be additional enhancements to the system that will provide state of the art interactive dashboards for supervisors to use in managing their reports and areas of responsibility. </w:t>
      </w:r>
    </w:p>
    <w:p w14:paraId="000A8B10" w14:textId="77777777" w:rsidR="005616A1" w:rsidRPr="00E13F47" w:rsidRDefault="005616A1" w:rsidP="005616A1">
      <w:pPr>
        <w:shd w:val="clear" w:color="auto" w:fill="FFFFFF"/>
        <w:jc w:val="both"/>
        <w:rPr>
          <w:rFonts w:ascii="Arial" w:eastAsia="Times New Roman" w:hAnsi="Arial" w:cs="Arial"/>
          <w:bCs/>
        </w:rPr>
      </w:pPr>
    </w:p>
    <w:p w14:paraId="2F8581F6" w14:textId="4CA7C2A3" w:rsidR="005616A1" w:rsidRDefault="005616A1" w:rsidP="005616A1">
      <w:pPr>
        <w:jc w:val="both"/>
        <w:rPr>
          <w:rFonts w:ascii="Arial" w:eastAsia="Times New Roman" w:hAnsi="Arial" w:cs="Arial"/>
          <w:bCs/>
        </w:rPr>
      </w:pPr>
      <w:r w:rsidRPr="00E13F47">
        <w:rPr>
          <w:rFonts w:ascii="Arial" w:eastAsia="Times New Roman" w:hAnsi="Arial" w:cs="Arial"/>
          <w:bCs/>
        </w:rPr>
        <w:t xml:space="preserve">OPD has collected detailed data every time a police officer makes a discretionary stop of a person. The </w:t>
      </w:r>
      <w:r>
        <w:rPr>
          <w:rFonts w:ascii="Arial" w:eastAsia="Times New Roman" w:hAnsi="Arial" w:cs="Arial"/>
          <w:bCs/>
        </w:rPr>
        <w:t>“stop d</w:t>
      </w:r>
      <w:r w:rsidRPr="00E13F47">
        <w:rPr>
          <w:rFonts w:ascii="Arial" w:eastAsia="Times New Roman" w:hAnsi="Arial" w:cs="Arial"/>
          <w:bCs/>
        </w:rPr>
        <w:t>ata</w:t>
      </w:r>
      <w:r>
        <w:rPr>
          <w:rFonts w:ascii="Arial" w:eastAsia="Times New Roman" w:hAnsi="Arial" w:cs="Arial"/>
          <w:bCs/>
        </w:rPr>
        <w:t>”</w:t>
      </w:r>
      <w:r w:rsidRPr="00E13F47">
        <w:rPr>
          <w:rFonts w:ascii="Arial" w:eastAsia="Times New Roman" w:hAnsi="Arial" w:cs="Arial"/>
          <w:bCs/>
        </w:rPr>
        <w:t xml:space="preserve"> includes geographic and demographic data regarding each stop. Using tools and technical assistance from the Independent Monitoring Team and Stanford University, </w:t>
      </w:r>
      <w:r w:rsidR="00A96371">
        <w:rPr>
          <w:rFonts w:ascii="Arial" w:eastAsia="Times New Roman" w:hAnsi="Arial" w:cs="Arial"/>
          <w:bCs/>
        </w:rPr>
        <w:t xml:space="preserve">each month </w:t>
      </w:r>
      <w:r w:rsidRPr="00E13F47">
        <w:rPr>
          <w:rFonts w:ascii="Arial" w:eastAsia="Times New Roman" w:hAnsi="Arial" w:cs="Arial"/>
          <w:bCs/>
        </w:rPr>
        <w:t xml:space="preserve">OPD analyzes the stop data and prepares reports for management review. </w:t>
      </w:r>
      <w:r w:rsidR="00A96371">
        <w:rPr>
          <w:rFonts w:ascii="Arial" w:eastAsia="Times New Roman" w:hAnsi="Arial" w:cs="Arial"/>
          <w:bCs/>
        </w:rPr>
        <w:t>In these “risk management” meetings, t</w:t>
      </w:r>
      <w:r w:rsidRPr="00E13F47">
        <w:rPr>
          <w:rFonts w:ascii="Arial" w:eastAsia="Times New Roman" w:hAnsi="Arial" w:cs="Arial"/>
          <w:bCs/>
        </w:rPr>
        <w:t xml:space="preserve">he department </w:t>
      </w:r>
      <w:r w:rsidR="00A96371">
        <w:rPr>
          <w:rFonts w:ascii="Arial" w:eastAsia="Times New Roman" w:hAnsi="Arial" w:cs="Arial"/>
          <w:bCs/>
        </w:rPr>
        <w:t xml:space="preserve">leadership </w:t>
      </w:r>
      <w:r w:rsidRPr="00E13F47">
        <w:rPr>
          <w:rFonts w:ascii="Arial" w:eastAsia="Times New Roman" w:hAnsi="Arial" w:cs="Arial"/>
          <w:bCs/>
        </w:rPr>
        <w:t>reviews the stop data and discusses racial disparities or other concerning trends noted in the data. This review is done at many levels. The data is reviewed city-wide, by patrol area, patrol squad and individual officer level. Data from the system is also used regularly by OPD’s Office of Inspector General (OIG) in their audits.</w:t>
      </w:r>
      <w:r>
        <w:rPr>
          <w:rFonts w:ascii="Arial" w:eastAsia="Times New Roman" w:hAnsi="Arial" w:cs="Arial"/>
          <w:bCs/>
        </w:rPr>
        <w:t xml:space="preserve"> </w:t>
      </w:r>
    </w:p>
    <w:p w14:paraId="5AE2C1F4" w14:textId="48378635" w:rsidR="003253A8" w:rsidRDefault="003253A8" w:rsidP="005616A1">
      <w:pPr>
        <w:jc w:val="both"/>
        <w:rPr>
          <w:rFonts w:ascii="Arial" w:eastAsia="Times New Roman" w:hAnsi="Arial" w:cs="Arial"/>
          <w:bCs/>
        </w:rPr>
      </w:pPr>
    </w:p>
    <w:p w14:paraId="15246D8F" w14:textId="6C719692" w:rsidR="003253A8" w:rsidRPr="00E13F47" w:rsidRDefault="003253A8" w:rsidP="005616A1">
      <w:pPr>
        <w:jc w:val="both"/>
        <w:rPr>
          <w:rFonts w:ascii="Arial" w:eastAsia="Times New Roman" w:hAnsi="Arial" w:cs="Arial"/>
          <w:bCs/>
        </w:rPr>
      </w:pPr>
      <w:r>
        <w:rPr>
          <w:rFonts w:ascii="Arial" w:eastAsia="Times New Roman" w:hAnsi="Arial" w:cs="Arial"/>
          <w:bCs/>
        </w:rPr>
        <w:t xml:space="preserve">In recent years, OPD </w:t>
      </w:r>
      <w:r w:rsidR="004B6BAF">
        <w:rPr>
          <w:rFonts w:ascii="Arial" w:eastAsia="Times New Roman" w:hAnsi="Arial" w:cs="Arial"/>
          <w:bCs/>
        </w:rPr>
        <w:t>l</w:t>
      </w:r>
      <w:r>
        <w:rPr>
          <w:rFonts w:ascii="Arial" w:eastAsia="Times New Roman" w:hAnsi="Arial" w:cs="Arial"/>
          <w:bCs/>
        </w:rPr>
        <w:t xml:space="preserve">eadership has </w:t>
      </w:r>
      <w:r w:rsidR="00E277E1">
        <w:rPr>
          <w:rFonts w:ascii="Arial" w:eastAsia="Times New Roman" w:hAnsi="Arial" w:cs="Arial"/>
          <w:bCs/>
        </w:rPr>
        <w:t>used data</w:t>
      </w:r>
      <w:r w:rsidR="0073159D">
        <w:rPr>
          <w:rFonts w:ascii="Arial" w:eastAsia="Times New Roman" w:hAnsi="Arial" w:cs="Arial"/>
          <w:bCs/>
        </w:rPr>
        <w:t xml:space="preserve"> to reexamine deployment </w:t>
      </w:r>
      <w:r w:rsidR="000445F7">
        <w:rPr>
          <w:rFonts w:ascii="Arial" w:eastAsia="Times New Roman" w:hAnsi="Arial" w:cs="Arial"/>
          <w:bCs/>
        </w:rPr>
        <w:t>strategies</w:t>
      </w:r>
      <w:r w:rsidR="0073159D">
        <w:rPr>
          <w:rFonts w:ascii="Arial" w:eastAsia="Times New Roman" w:hAnsi="Arial" w:cs="Arial"/>
          <w:bCs/>
        </w:rPr>
        <w:t xml:space="preserve"> and expectations</w:t>
      </w:r>
      <w:r w:rsidR="00B861AB">
        <w:rPr>
          <w:rFonts w:ascii="Arial" w:eastAsia="Times New Roman" w:hAnsi="Arial" w:cs="Arial"/>
          <w:bCs/>
        </w:rPr>
        <w:t xml:space="preserve">.  </w:t>
      </w:r>
      <w:r w:rsidR="00086748">
        <w:rPr>
          <w:rFonts w:ascii="Arial" w:eastAsia="Times New Roman" w:hAnsi="Arial" w:cs="Arial"/>
          <w:bCs/>
        </w:rPr>
        <w:t xml:space="preserve">In late 2017, </w:t>
      </w:r>
      <w:r w:rsidR="00107316">
        <w:rPr>
          <w:rFonts w:ascii="Arial" w:eastAsia="Times New Roman" w:hAnsi="Arial" w:cs="Arial"/>
          <w:bCs/>
        </w:rPr>
        <w:t xml:space="preserve">directed officers to spend less time on low-level </w:t>
      </w:r>
      <w:r w:rsidR="008B08C0">
        <w:rPr>
          <w:rFonts w:ascii="Arial" w:eastAsia="Times New Roman" w:hAnsi="Arial" w:cs="Arial"/>
          <w:bCs/>
        </w:rPr>
        <w:t xml:space="preserve">traffic and equipment violations and focus more on </w:t>
      </w:r>
      <w:r w:rsidR="004F1B3C">
        <w:rPr>
          <w:rFonts w:ascii="Arial" w:eastAsia="Times New Roman" w:hAnsi="Arial" w:cs="Arial"/>
          <w:bCs/>
        </w:rPr>
        <w:t xml:space="preserve">traffic safety and </w:t>
      </w:r>
      <w:r w:rsidR="00086748">
        <w:rPr>
          <w:rFonts w:ascii="Arial" w:eastAsia="Times New Roman" w:hAnsi="Arial" w:cs="Arial"/>
          <w:bCs/>
        </w:rPr>
        <w:t xml:space="preserve">intelligence-led policing, a </w:t>
      </w:r>
      <w:r w:rsidR="00A7433F">
        <w:rPr>
          <w:rFonts w:ascii="Arial" w:eastAsia="Times New Roman" w:hAnsi="Arial" w:cs="Arial"/>
          <w:bCs/>
        </w:rPr>
        <w:t xml:space="preserve">strategy </w:t>
      </w:r>
      <w:r w:rsidR="00FB7B26">
        <w:rPr>
          <w:rFonts w:ascii="Arial" w:eastAsia="Times New Roman" w:hAnsi="Arial" w:cs="Arial"/>
          <w:bCs/>
        </w:rPr>
        <w:t xml:space="preserve">that provides </w:t>
      </w:r>
      <w:r w:rsidR="007639CB">
        <w:rPr>
          <w:rFonts w:ascii="Arial" w:eastAsia="Times New Roman" w:hAnsi="Arial" w:cs="Arial"/>
          <w:bCs/>
        </w:rPr>
        <w:t xml:space="preserve">officers </w:t>
      </w:r>
      <w:r w:rsidR="00FB7B26">
        <w:rPr>
          <w:rFonts w:ascii="Arial" w:eastAsia="Times New Roman" w:hAnsi="Arial" w:cs="Arial"/>
          <w:bCs/>
        </w:rPr>
        <w:t xml:space="preserve">additional access to </w:t>
      </w:r>
      <w:r w:rsidR="00762F00">
        <w:rPr>
          <w:rFonts w:ascii="Arial" w:eastAsia="Times New Roman" w:hAnsi="Arial" w:cs="Arial"/>
          <w:bCs/>
        </w:rPr>
        <w:t xml:space="preserve">information </w:t>
      </w:r>
      <w:r w:rsidR="00CA340F">
        <w:rPr>
          <w:rFonts w:ascii="Arial" w:eastAsia="Times New Roman" w:hAnsi="Arial" w:cs="Arial"/>
          <w:bCs/>
        </w:rPr>
        <w:t>to focus on specific criminal targe</w:t>
      </w:r>
      <w:r w:rsidR="0079382A">
        <w:rPr>
          <w:rFonts w:ascii="Arial" w:eastAsia="Times New Roman" w:hAnsi="Arial" w:cs="Arial"/>
          <w:bCs/>
        </w:rPr>
        <w:t>ts</w:t>
      </w:r>
      <w:r w:rsidR="004F1B3C">
        <w:rPr>
          <w:rFonts w:ascii="Arial" w:eastAsia="Times New Roman" w:hAnsi="Arial" w:cs="Arial"/>
          <w:bCs/>
        </w:rPr>
        <w:t xml:space="preserve">.  </w:t>
      </w:r>
      <w:r w:rsidR="00E1700C">
        <w:rPr>
          <w:rFonts w:ascii="Arial" w:eastAsia="Times New Roman" w:hAnsi="Arial" w:cs="Arial"/>
          <w:bCs/>
        </w:rPr>
        <w:t>As illustrated on the chart below, t</w:t>
      </w:r>
      <w:r w:rsidR="004F1B3C">
        <w:rPr>
          <w:rFonts w:ascii="Arial" w:eastAsia="Times New Roman" w:hAnsi="Arial" w:cs="Arial"/>
          <w:bCs/>
        </w:rPr>
        <w:t xml:space="preserve">his direction has led to a signification reduction of </w:t>
      </w:r>
      <w:r w:rsidR="00E1700C">
        <w:rPr>
          <w:rFonts w:ascii="Arial" w:eastAsia="Times New Roman" w:hAnsi="Arial" w:cs="Arial"/>
          <w:bCs/>
        </w:rPr>
        <w:t xml:space="preserve">number of discretionary traffic and pedestrian stops. </w:t>
      </w:r>
    </w:p>
    <w:p w14:paraId="2FD78719" w14:textId="0EBD18C4" w:rsidR="005616A1" w:rsidRDefault="005616A1" w:rsidP="005616A1">
      <w:pPr>
        <w:jc w:val="both"/>
        <w:rPr>
          <w:rFonts w:ascii="Arial" w:eastAsia="Times New Roman" w:hAnsi="Arial" w:cs="Arial"/>
          <w:bCs/>
        </w:rPr>
      </w:pPr>
    </w:p>
    <w:p w14:paraId="076BDADE" w14:textId="77777777" w:rsidR="003253A8" w:rsidRDefault="003253A8" w:rsidP="005616A1">
      <w:pPr>
        <w:jc w:val="both"/>
        <w:rPr>
          <w:rFonts w:ascii="Arial" w:eastAsia="Times New Roman" w:hAnsi="Arial" w:cs="Arial"/>
          <w:bCs/>
        </w:rPr>
      </w:pPr>
    </w:p>
    <w:p w14:paraId="4B2959A0" w14:textId="5AD9927C" w:rsidR="00D10721" w:rsidRDefault="00935990" w:rsidP="005616A1">
      <w:pPr>
        <w:jc w:val="both"/>
        <w:rPr>
          <w:rFonts w:ascii="Arial" w:eastAsia="Times New Roman" w:hAnsi="Arial" w:cs="Arial"/>
          <w:bCs/>
        </w:rPr>
      </w:pPr>
      <w:r>
        <w:rPr>
          <w:noProof/>
        </w:rPr>
        <w:lastRenderedPageBreak/>
        <w:drawing>
          <wp:inline distT="0" distB="0" distL="0" distR="0" wp14:anchorId="67D57ECE" wp14:editId="11A455BD">
            <wp:extent cx="6492240" cy="4872787"/>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92240" cy="4872787"/>
                    </a:xfrm>
                    <a:prstGeom prst="rect">
                      <a:avLst/>
                    </a:prstGeom>
                  </pic:spPr>
                </pic:pic>
              </a:graphicData>
            </a:graphic>
          </wp:inline>
        </w:drawing>
      </w:r>
    </w:p>
    <w:p w14:paraId="67547DDF" w14:textId="77777777" w:rsidR="003253A8" w:rsidRPr="00E13F47" w:rsidRDefault="003253A8" w:rsidP="005616A1">
      <w:pPr>
        <w:jc w:val="both"/>
        <w:rPr>
          <w:rFonts w:ascii="Arial" w:eastAsia="Times New Roman" w:hAnsi="Arial" w:cs="Arial"/>
          <w:bCs/>
        </w:rPr>
      </w:pPr>
    </w:p>
    <w:p w14:paraId="7A65D609" w14:textId="77777777" w:rsidR="00935990" w:rsidRDefault="00935990" w:rsidP="00F51EA2">
      <w:pPr>
        <w:jc w:val="both"/>
        <w:rPr>
          <w:rFonts w:ascii="Arial" w:eastAsia="Times New Roman" w:hAnsi="Arial" w:cs="Arial"/>
          <w:bCs/>
        </w:rPr>
      </w:pPr>
    </w:p>
    <w:p w14:paraId="5936FBD9" w14:textId="2FD1008C" w:rsidR="00F51EA2" w:rsidRDefault="005616A1" w:rsidP="00F51EA2">
      <w:pPr>
        <w:jc w:val="both"/>
        <w:rPr>
          <w:rFonts w:ascii="Arial" w:eastAsia="Times New Roman" w:hAnsi="Arial" w:cs="Arial"/>
          <w:bCs/>
        </w:rPr>
      </w:pPr>
      <w:r w:rsidRPr="00E13F47">
        <w:rPr>
          <w:rFonts w:ascii="Arial" w:eastAsia="Times New Roman" w:hAnsi="Arial" w:cs="Arial"/>
          <w:bCs/>
        </w:rPr>
        <w:t>Information collected from police contacts informs our policies, practices, strategies and enforcement-related decisions. The detailed review of the stop data allows us to regularly review and evaluate whether the results of our actions are lawful, efficient and equitable. Data showing racially disparate results may arise from many different things: racially disparate treatment, social conditions, or from strategies, policies</w:t>
      </w:r>
      <w:r>
        <w:rPr>
          <w:rFonts w:ascii="Arial" w:eastAsia="Times New Roman" w:hAnsi="Arial" w:cs="Arial"/>
          <w:bCs/>
        </w:rPr>
        <w:t xml:space="preserve"> and </w:t>
      </w:r>
      <w:r w:rsidRPr="00E13F47">
        <w:rPr>
          <w:rFonts w:ascii="Arial" w:eastAsia="Times New Roman" w:hAnsi="Arial" w:cs="Arial"/>
          <w:bCs/>
        </w:rPr>
        <w:t xml:space="preserve">practices which may contribute to racially disproportionate contacts or circumstances. Although we cannot control all of these factors, we are accountable for the results of our decisions which influence these results. Our </w:t>
      </w:r>
      <w:r>
        <w:rPr>
          <w:rFonts w:ascii="Arial" w:eastAsia="Times New Roman" w:hAnsi="Arial" w:cs="Arial"/>
          <w:bCs/>
        </w:rPr>
        <w:t xml:space="preserve">comprehensive </w:t>
      </w:r>
      <w:r w:rsidRPr="00E13F47">
        <w:rPr>
          <w:rFonts w:ascii="Arial" w:eastAsia="Times New Roman" w:hAnsi="Arial" w:cs="Arial"/>
          <w:bCs/>
        </w:rPr>
        <w:t>data collection system helps provide valuable information as we continually review our practices</w:t>
      </w:r>
      <w:r>
        <w:rPr>
          <w:rFonts w:ascii="Arial" w:eastAsia="Times New Roman" w:hAnsi="Arial" w:cs="Arial"/>
          <w:bCs/>
        </w:rPr>
        <w:t xml:space="preserve"> and the effects of our actions. </w:t>
      </w:r>
      <w:r w:rsidRPr="00E13F47">
        <w:rPr>
          <w:rFonts w:ascii="Arial" w:eastAsia="Times New Roman" w:hAnsi="Arial" w:cs="Arial"/>
          <w:bCs/>
        </w:rPr>
        <w:t xml:space="preserve">OPD </w:t>
      </w:r>
      <w:r>
        <w:rPr>
          <w:rFonts w:ascii="Arial" w:eastAsia="Times New Roman" w:hAnsi="Arial" w:cs="Arial"/>
          <w:bCs/>
        </w:rPr>
        <w:t>began</w:t>
      </w:r>
      <w:r w:rsidRPr="00E13F47">
        <w:rPr>
          <w:rFonts w:ascii="Arial" w:eastAsia="Times New Roman" w:hAnsi="Arial" w:cs="Arial"/>
          <w:bCs/>
        </w:rPr>
        <w:t xml:space="preserve"> a partnership with the City’s Department of Race and Equity to learn how to evaluate the impact of policing practices and how to work </w:t>
      </w:r>
      <w:r>
        <w:rPr>
          <w:rFonts w:ascii="Arial" w:eastAsia="Times New Roman" w:hAnsi="Arial" w:cs="Arial"/>
          <w:bCs/>
        </w:rPr>
        <w:t xml:space="preserve">with the data we collect to lead </w:t>
      </w:r>
      <w:r w:rsidRPr="00E13F47">
        <w:rPr>
          <w:rFonts w:ascii="Arial" w:eastAsia="Times New Roman" w:hAnsi="Arial" w:cs="Arial"/>
          <w:bCs/>
        </w:rPr>
        <w:t>to</w:t>
      </w:r>
      <w:r>
        <w:rPr>
          <w:rFonts w:ascii="Arial" w:eastAsia="Times New Roman" w:hAnsi="Arial" w:cs="Arial"/>
          <w:bCs/>
        </w:rPr>
        <w:t xml:space="preserve"> </w:t>
      </w:r>
      <w:r w:rsidRPr="00E13F47">
        <w:rPr>
          <w:rFonts w:ascii="Arial" w:eastAsia="Times New Roman" w:hAnsi="Arial" w:cs="Arial"/>
          <w:bCs/>
        </w:rPr>
        <w:t>equitable outcomes.</w:t>
      </w:r>
    </w:p>
    <w:p w14:paraId="476B1FE8" w14:textId="77777777" w:rsidR="00F51EA2" w:rsidRPr="00F51EA2" w:rsidRDefault="00F51EA2" w:rsidP="00F51EA2">
      <w:pPr>
        <w:jc w:val="both"/>
        <w:rPr>
          <w:rFonts w:ascii="Arial" w:eastAsia="Times New Roman" w:hAnsi="Arial" w:cs="Arial"/>
          <w:bCs/>
        </w:rPr>
      </w:pPr>
    </w:p>
    <w:p w14:paraId="79BB30CC" w14:textId="0D503612" w:rsidR="001A6E6F" w:rsidRPr="00E13F47" w:rsidRDefault="00A3600D" w:rsidP="00D36108">
      <w:pPr>
        <w:spacing w:after="200" w:line="276" w:lineRule="auto"/>
        <w:jc w:val="both"/>
        <w:rPr>
          <w:rFonts w:ascii="Arial" w:eastAsia="Times New Roman" w:hAnsi="Arial" w:cs="Arial"/>
          <w:b/>
        </w:rPr>
      </w:pPr>
      <w:r w:rsidRPr="00E13F47">
        <w:rPr>
          <w:rFonts w:ascii="Arial" w:eastAsia="Times New Roman" w:hAnsi="Arial" w:cs="Arial"/>
          <w:b/>
        </w:rPr>
        <w:t>CONCLUSION</w:t>
      </w:r>
    </w:p>
    <w:p w14:paraId="3BE997CB" w14:textId="5F42D547" w:rsidR="008F3F48" w:rsidRDefault="00955BAA" w:rsidP="005D3692">
      <w:pPr>
        <w:spacing w:after="200"/>
        <w:jc w:val="both"/>
        <w:rPr>
          <w:rFonts w:ascii="Arial" w:eastAsia="Times New Roman" w:hAnsi="Arial" w:cs="Arial"/>
        </w:rPr>
      </w:pPr>
      <w:r>
        <w:rPr>
          <w:rFonts w:ascii="Arial" w:eastAsia="Times New Roman" w:hAnsi="Arial" w:cs="Arial"/>
        </w:rPr>
        <w:t xml:space="preserve">The City and </w:t>
      </w:r>
      <w:r w:rsidR="008B05F7" w:rsidRPr="00E13F47">
        <w:rPr>
          <w:rFonts w:ascii="Arial" w:eastAsia="Times New Roman" w:hAnsi="Arial" w:cs="Arial"/>
        </w:rPr>
        <w:t xml:space="preserve">OPD continue to </w:t>
      </w:r>
      <w:r w:rsidR="0023750B" w:rsidRPr="00E13F47">
        <w:rPr>
          <w:rFonts w:ascii="Arial" w:eastAsia="Times New Roman" w:hAnsi="Arial" w:cs="Arial"/>
        </w:rPr>
        <w:t xml:space="preserve">strengthen </w:t>
      </w:r>
      <w:r w:rsidR="00426593">
        <w:rPr>
          <w:rFonts w:ascii="Arial" w:eastAsia="Times New Roman" w:hAnsi="Arial" w:cs="Arial"/>
        </w:rPr>
        <w:t xml:space="preserve">its </w:t>
      </w:r>
      <w:r w:rsidR="0023750B" w:rsidRPr="00E13F47">
        <w:rPr>
          <w:rFonts w:ascii="Arial" w:eastAsia="Times New Roman" w:hAnsi="Arial" w:cs="Arial"/>
        </w:rPr>
        <w:t xml:space="preserve">accountability and transparency. </w:t>
      </w:r>
      <w:r w:rsidR="002E64E2" w:rsidRPr="00E13F47">
        <w:rPr>
          <w:rFonts w:ascii="Arial" w:eastAsia="Times New Roman" w:hAnsi="Arial" w:cs="Arial"/>
        </w:rPr>
        <w:t xml:space="preserve">The department </w:t>
      </w:r>
      <w:r w:rsidR="005B5822">
        <w:rPr>
          <w:rFonts w:ascii="Arial" w:eastAsia="Times New Roman" w:hAnsi="Arial" w:cs="Arial"/>
        </w:rPr>
        <w:t xml:space="preserve">will continue to collect and share data related to its operations and </w:t>
      </w:r>
      <w:r w:rsidR="00620390">
        <w:rPr>
          <w:rFonts w:ascii="Arial" w:eastAsia="Times New Roman" w:hAnsi="Arial" w:cs="Arial"/>
        </w:rPr>
        <w:t>internal processes.</w:t>
      </w:r>
      <w:r w:rsidR="00A54236">
        <w:rPr>
          <w:rFonts w:ascii="Arial" w:eastAsia="Times New Roman" w:hAnsi="Arial" w:cs="Arial"/>
        </w:rPr>
        <w:t xml:space="preserve"> C</w:t>
      </w:r>
      <w:r w:rsidR="00A54236" w:rsidRPr="00E13F47">
        <w:rPr>
          <w:rFonts w:ascii="Arial" w:eastAsia="Times New Roman" w:hAnsi="Arial" w:cs="Arial"/>
        </w:rPr>
        <w:t>ollaborat</w:t>
      </w:r>
      <w:r w:rsidR="00A54236">
        <w:rPr>
          <w:rFonts w:ascii="Arial" w:eastAsia="Times New Roman" w:hAnsi="Arial" w:cs="Arial"/>
        </w:rPr>
        <w:t>ion</w:t>
      </w:r>
      <w:r w:rsidR="002E64E2" w:rsidRPr="00E13F47">
        <w:rPr>
          <w:rFonts w:ascii="Arial" w:eastAsia="Times New Roman" w:hAnsi="Arial" w:cs="Arial"/>
        </w:rPr>
        <w:t xml:space="preserve"> </w:t>
      </w:r>
      <w:r w:rsidR="00AC737A" w:rsidRPr="00E13F47">
        <w:rPr>
          <w:rFonts w:ascii="Arial" w:eastAsia="Times New Roman" w:hAnsi="Arial" w:cs="Arial"/>
        </w:rPr>
        <w:t>with the Police Commissio</w:t>
      </w:r>
      <w:r w:rsidR="00265C5C">
        <w:rPr>
          <w:rFonts w:ascii="Arial" w:eastAsia="Times New Roman" w:hAnsi="Arial" w:cs="Arial"/>
        </w:rPr>
        <w:t xml:space="preserve">n, the </w:t>
      </w:r>
      <w:r w:rsidR="00AC737A" w:rsidRPr="00E13F47">
        <w:rPr>
          <w:rFonts w:ascii="Arial" w:eastAsia="Times New Roman" w:hAnsi="Arial" w:cs="Arial"/>
        </w:rPr>
        <w:t>Community Police Review Agency</w:t>
      </w:r>
      <w:r w:rsidR="00265C5C">
        <w:rPr>
          <w:rFonts w:ascii="Arial" w:eastAsia="Times New Roman" w:hAnsi="Arial" w:cs="Arial"/>
        </w:rPr>
        <w:t xml:space="preserve"> and other community partners </w:t>
      </w:r>
      <w:r w:rsidR="00370885">
        <w:rPr>
          <w:rFonts w:ascii="Arial" w:eastAsia="Times New Roman" w:hAnsi="Arial" w:cs="Arial"/>
        </w:rPr>
        <w:t xml:space="preserve">gives the Department valuable </w:t>
      </w:r>
      <w:r w:rsidR="00FF247B">
        <w:rPr>
          <w:rFonts w:ascii="Arial" w:eastAsia="Times New Roman" w:hAnsi="Arial" w:cs="Arial"/>
        </w:rPr>
        <w:t>input</w:t>
      </w:r>
      <w:r w:rsidR="00542837">
        <w:rPr>
          <w:rFonts w:ascii="Arial" w:eastAsia="Times New Roman" w:hAnsi="Arial" w:cs="Arial"/>
        </w:rPr>
        <w:t xml:space="preserve"> on policing strategies and priorities</w:t>
      </w:r>
      <w:r w:rsidR="00AC737A" w:rsidRPr="00E13F47">
        <w:rPr>
          <w:rFonts w:ascii="Arial" w:eastAsia="Times New Roman" w:hAnsi="Arial" w:cs="Arial"/>
        </w:rPr>
        <w:t xml:space="preserve">. </w:t>
      </w:r>
    </w:p>
    <w:p w14:paraId="1D4BE9B3" w14:textId="1437813F" w:rsidR="001617CF" w:rsidRPr="00E13F47" w:rsidRDefault="00002007" w:rsidP="005D3692">
      <w:pPr>
        <w:spacing w:after="200"/>
        <w:jc w:val="both"/>
        <w:rPr>
          <w:rFonts w:ascii="Arial" w:eastAsia="Times New Roman" w:hAnsi="Arial" w:cs="Arial"/>
        </w:rPr>
      </w:pPr>
      <w:r>
        <w:rPr>
          <w:rFonts w:ascii="Arial" w:eastAsia="Times New Roman" w:hAnsi="Arial" w:cs="Arial"/>
        </w:rPr>
        <w:t xml:space="preserve">The Department continues to </w:t>
      </w:r>
      <w:r w:rsidR="00366649">
        <w:rPr>
          <w:rFonts w:ascii="Arial" w:eastAsia="Times New Roman" w:hAnsi="Arial" w:cs="Arial"/>
        </w:rPr>
        <w:t>implement new tools to</w:t>
      </w:r>
      <w:r w:rsidR="00A73EBE">
        <w:rPr>
          <w:rFonts w:ascii="Arial" w:eastAsia="Times New Roman" w:hAnsi="Arial" w:cs="Arial"/>
        </w:rPr>
        <w:t xml:space="preserve"> </w:t>
      </w:r>
      <w:r w:rsidR="00CF089A">
        <w:rPr>
          <w:rFonts w:ascii="Arial" w:eastAsia="Times New Roman" w:hAnsi="Arial" w:cs="Arial"/>
        </w:rPr>
        <w:t xml:space="preserve">improve relations with our community.  Nearly all </w:t>
      </w:r>
      <w:r w:rsidR="0023750B" w:rsidRPr="00E13F47">
        <w:rPr>
          <w:rFonts w:ascii="Arial" w:eastAsia="Times New Roman" w:hAnsi="Arial" w:cs="Arial"/>
        </w:rPr>
        <w:t xml:space="preserve"> recommendations in Stanford’s </w:t>
      </w:r>
      <w:hyperlink r:id="rId28" w:history="1">
        <w:r w:rsidR="0023750B" w:rsidRPr="00E13F47">
          <w:rPr>
            <w:rStyle w:val="Hyperlink"/>
            <w:rFonts w:ascii="Arial" w:eastAsia="Times New Roman" w:hAnsi="Arial" w:cs="Arial"/>
          </w:rPr>
          <w:t>Data for Change</w:t>
        </w:r>
      </w:hyperlink>
      <w:r w:rsidR="00542837">
        <w:rPr>
          <w:rStyle w:val="Hyperlink"/>
          <w:rFonts w:ascii="Arial" w:eastAsia="Times New Roman" w:hAnsi="Arial" w:cs="Arial"/>
          <w:u w:val="none"/>
        </w:rPr>
        <w:t xml:space="preserve"> </w:t>
      </w:r>
      <w:r w:rsidR="00B546E4">
        <w:rPr>
          <w:rStyle w:val="Hyperlink"/>
          <w:rFonts w:ascii="Arial" w:eastAsia="Times New Roman" w:hAnsi="Arial" w:cs="Arial"/>
          <w:u w:val="none"/>
        </w:rPr>
        <w:t>r</w:t>
      </w:r>
      <w:r w:rsidR="0023750B" w:rsidRPr="00E13F47">
        <w:rPr>
          <w:rFonts w:ascii="Arial" w:eastAsia="Times New Roman" w:hAnsi="Arial" w:cs="Arial"/>
        </w:rPr>
        <w:t>eport t</w:t>
      </w:r>
      <w:r w:rsidR="00B546E4">
        <w:rPr>
          <w:rFonts w:ascii="Arial" w:eastAsia="Times New Roman" w:hAnsi="Arial" w:cs="Arial"/>
        </w:rPr>
        <w:t xml:space="preserve">hat </w:t>
      </w:r>
      <w:r w:rsidR="00C66C23">
        <w:rPr>
          <w:rFonts w:ascii="Arial" w:eastAsia="Times New Roman" w:hAnsi="Arial" w:cs="Arial"/>
        </w:rPr>
        <w:t>created strategies to</w:t>
      </w:r>
      <w:r w:rsidR="0023750B" w:rsidRPr="00E13F47">
        <w:rPr>
          <w:rFonts w:ascii="Arial" w:eastAsia="Times New Roman" w:hAnsi="Arial" w:cs="Arial"/>
        </w:rPr>
        <w:t xml:space="preserve"> address implicit bias and </w:t>
      </w:r>
      <w:r w:rsidR="0023750B" w:rsidRPr="00E13F47">
        <w:rPr>
          <w:rFonts w:ascii="Arial" w:eastAsia="Times New Roman" w:hAnsi="Arial" w:cs="Arial"/>
        </w:rPr>
        <w:lastRenderedPageBreak/>
        <w:t>racial disparities in policing</w:t>
      </w:r>
      <w:r w:rsidR="003403CF">
        <w:rPr>
          <w:rFonts w:ascii="Arial" w:eastAsia="Times New Roman" w:hAnsi="Arial" w:cs="Arial"/>
        </w:rPr>
        <w:t xml:space="preserve"> have been implemented</w:t>
      </w:r>
      <w:r w:rsidR="0023750B" w:rsidRPr="00E13F47">
        <w:rPr>
          <w:rFonts w:ascii="Arial" w:eastAsia="Times New Roman" w:hAnsi="Arial" w:cs="Arial"/>
        </w:rPr>
        <w:t>.</w:t>
      </w:r>
      <w:r w:rsidR="003403CF">
        <w:rPr>
          <w:rFonts w:ascii="Arial" w:eastAsia="Times New Roman" w:hAnsi="Arial" w:cs="Arial"/>
        </w:rPr>
        <w:t xml:space="preserve"> </w:t>
      </w:r>
      <w:r w:rsidR="00955BAA">
        <w:rPr>
          <w:rFonts w:ascii="Arial" w:eastAsia="Times New Roman" w:hAnsi="Arial" w:cs="Arial"/>
        </w:rPr>
        <w:t xml:space="preserve">The new data system will provide additional information The Department can use to evaluate the impacts of its policing practices. </w:t>
      </w:r>
    </w:p>
    <w:p w14:paraId="04514356" w14:textId="7981CD06" w:rsidR="004D3F3C" w:rsidRDefault="0023750B" w:rsidP="005D3692">
      <w:pPr>
        <w:spacing w:after="200"/>
        <w:jc w:val="both"/>
        <w:rPr>
          <w:rFonts w:ascii="Arial" w:eastAsia="Times New Roman" w:hAnsi="Arial" w:cs="Arial"/>
        </w:rPr>
      </w:pPr>
      <w:r w:rsidRPr="00E13F47">
        <w:rPr>
          <w:rFonts w:ascii="Arial" w:eastAsia="Times New Roman" w:hAnsi="Arial" w:cs="Arial"/>
        </w:rPr>
        <w:t xml:space="preserve">We welcome your continued feedback on how we can better share and explain our policing data by emailing </w:t>
      </w:r>
      <w:hyperlink r:id="rId29" w:history="1">
        <w:r w:rsidRPr="00E13F47">
          <w:rPr>
            <w:rStyle w:val="Hyperlink"/>
            <w:rFonts w:ascii="Arial" w:eastAsia="Times New Roman" w:hAnsi="Arial" w:cs="Arial"/>
          </w:rPr>
          <w:t>officeofthemayor@oaklandnet.com</w:t>
        </w:r>
      </w:hyperlink>
      <w:r w:rsidRPr="00E13F47">
        <w:rPr>
          <w:rFonts w:ascii="Arial" w:eastAsia="Times New Roman" w:hAnsi="Arial" w:cs="Arial"/>
        </w:rPr>
        <w:t xml:space="preserve"> or calling 510-238-3141.</w:t>
      </w:r>
    </w:p>
    <w:p w14:paraId="0428C0A0" w14:textId="77777777" w:rsidR="00C05A0A" w:rsidRDefault="004D3F3C" w:rsidP="00806DDB">
      <w:pPr>
        <w:spacing w:after="200" w:line="276" w:lineRule="auto"/>
        <w:rPr>
          <w:rFonts w:ascii="Arial" w:eastAsia="Times New Roman" w:hAnsi="Arial" w:cs="Arial"/>
        </w:rPr>
      </w:pPr>
      <w:r>
        <w:rPr>
          <w:rFonts w:ascii="Arial" w:eastAsia="Times New Roman" w:hAnsi="Arial" w:cs="Arial"/>
        </w:rPr>
        <w:br w:type="page"/>
      </w:r>
    </w:p>
    <w:p w14:paraId="048A0B9C" w14:textId="7775D548" w:rsidR="00C05A0A" w:rsidRPr="00C05A0A" w:rsidRDefault="00C05A0A" w:rsidP="00C05A0A">
      <w:pPr>
        <w:spacing w:after="200" w:line="276" w:lineRule="auto"/>
        <w:jc w:val="center"/>
        <w:rPr>
          <w:rFonts w:ascii="Arial" w:eastAsia="Times New Roman" w:hAnsi="Arial" w:cs="Arial"/>
          <w:sz w:val="32"/>
          <w:szCs w:val="32"/>
        </w:rPr>
      </w:pPr>
      <w:r>
        <w:rPr>
          <w:rFonts w:ascii="Arial" w:eastAsia="Times New Roman" w:hAnsi="Arial" w:cs="Arial"/>
          <w:sz w:val="32"/>
          <w:szCs w:val="32"/>
        </w:rPr>
        <w:lastRenderedPageBreak/>
        <w:t>APPENDIX</w:t>
      </w:r>
    </w:p>
    <w:p w14:paraId="21AD39FC" w14:textId="77777777" w:rsidR="00965AAC" w:rsidRDefault="00A43229" w:rsidP="00965AAC">
      <w:pPr>
        <w:spacing w:line="276" w:lineRule="auto"/>
        <w:jc w:val="center"/>
        <w:rPr>
          <w:rFonts w:ascii="Arial" w:eastAsia="Times New Roman" w:hAnsi="Arial" w:cs="Arial"/>
          <w:b/>
          <w:sz w:val="24"/>
          <w:szCs w:val="24"/>
        </w:rPr>
      </w:pPr>
      <w:r w:rsidRPr="00535180">
        <w:rPr>
          <w:rFonts w:ascii="Arial" w:eastAsia="Times New Roman" w:hAnsi="Arial" w:cs="Arial"/>
          <w:b/>
          <w:sz w:val="24"/>
          <w:szCs w:val="24"/>
        </w:rPr>
        <w:t>TABLE A</w:t>
      </w:r>
    </w:p>
    <w:p w14:paraId="1CE6C95F" w14:textId="63968D07" w:rsidR="00806DDB" w:rsidRPr="00535180" w:rsidRDefault="00806DDB" w:rsidP="00965AAC">
      <w:pPr>
        <w:spacing w:line="276" w:lineRule="auto"/>
        <w:jc w:val="center"/>
        <w:rPr>
          <w:rFonts w:ascii="Arial" w:eastAsia="Times New Roman" w:hAnsi="Arial" w:cs="Arial"/>
          <w:b/>
          <w:sz w:val="24"/>
          <w:szCs w:val="24"/>
        </w:rPr>
      </w:pPr>
      <w:r w:rsidRPr="00535180">
        <w:rPr>
          <w:rFonts w:ascii="Arial" w:eastAsia="Times New Roman" w:hAnsi="Arial" w:cs="Arial"/>
          <w:b/>
          <w:sz w:val="24"/>
          <w:szCs w:val="24"/>
        </w:rPr>
        <w:t>COMPLAINTS</w:t>
      </w:r>
      <w:r w:rsidR="007B36F2" w:rsidRPr="00535180">
        <w:rPr>
          <w:rFonts w:ascii="Arial" w:eastAsia="Times New Roman" w:hAnsi="Arial" w:cs="Arial"/>
          <w:b/>
          <w:sz w:val="24"/>
          <w:szCs w:val="24"/>
        </w:rPr>
        <w:t xml:space="preserve"> 2012 – Q2 2019</w:t>
      </w:r>
    </w:p>
    <w:p w14:paraId="32168743" w14:textId="36434771" w:rsidR="00144FBB" w:rsidRDefault="00144FBB" w:rsidP="00D36108">
      <w:pPr>
        <w:spacing w:after="200" w:line="276" w:lineRule="auto"/>
        <w:jc w:val="both"/>
        <w:rPr>
          <w:rFonts w:ascii="Arial" w:eastAsia="Times New Roman" w:hAnsi="Arial" w:cs="Arial"/>
          <w:b/>
        </w:rPr>
      </w:pPr>
      <w:r w:rsidRPr="00E13F47">
        <w:rPr>
          <w:rFonts w:ascii="Arial" w:eastAsia="Times New Roman" w:hAnsi="Arial" w:cs="Arial"/>
          <w:noProof/>
          <w:color w:val="FFFFFF" w:themeColor="background1"/>
        </w:rPr>
        <w:drawing>
          <wp:inline distT="0" distB="0" distL="0" distR="0" wp14:anchorId="4E187B03" wp14:editId="41D4DF66">
            <wp:extent cx="6457950" cy="7591246"/>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7A03BE0" w14:textId="77777777" w:rsidR="00965AAC" w:rsidRDefault="00CA71A8" w:rsidP="00965AAC">
      <w:pPr>
        <w:spacing w:line="276" w:lineRule="auto"/>
        <w:jc w:val="center"/>
        <w:rPr>
          <w:rFonts w:ascii="Arial" w:eastAsia="Times New Roman" w:hAnsi="Arial" w:cs="Arial"/>
          <w:b/>
          <w:sz w:val="24"/>
          <w:szCs w:val="24"/>
        </w:rPr>
      </w:pPr>
      <w:r w:rsidRPr="00535180">
        <w:rPr>
          <w:rFonts w:ascii="Arial" w:eastAsia="Times New Roman" w:hAnsi="Arial" w:cs="Arial"/>
          <w:b/>
          <w:sz w:val="24"/>
          <w:szCs w:val="24"/>
        </w:rPr>
        <w:lastRenderedPageBreak/>
        <w:t>TABLE B</w:t>
      </w:r>
    </w:p>
    <w:p w14:paraId="3948B151" w14:textId="4824D22F" w:rsidR="00A50271" w:rsidRPr="00535180" w:rsidRDefault="00A50271" w:rsidP="00965AAC">
      <w:pPr>
        <w:spacing w:line="276" w:lineRule="auto"/>
        <w:jc w:val="center"/>
        <w:rPr>
          <w:rFonts w:ascii="Arial" w:eastAsia="Times New Roman" w:hAnsi="Arial" w:cs="Arial"/>
          <w:b/>
          <w:sz w:val="24"/>
          <w:szCs w:val="24"/>
        </w:rPr>
      </w:pPr>
      <w:r w:rsidRPr="00535180">
        <w:rPr>
          <w:rFonts w:ascii="Arial" w:eastAsia="Times New Roman" w:hAnsi="Arial" w:cs="Arial"/>
          <w:b/>
          <w:sz w:val="24"/>
          <w:szCs w:val="24"/>
        </w:rPr>
        <w:t>USES OF FORCE</w:t>
      </w:r>
      <w:r w:rsidR="007B36F2" w:rsidRPr="00535180">
        <w:rPr>
          <w:rFonts w:ascii="Arial" w:eastAsia="Times New Roman" w:hAnsi="Arial" w:cs="Arial"/>
          <w:b/>
          <w:sz w:val="24"/>
          <w:szCs w:val="24"/>
        </w:rPr>
        <w:t xml:space="preserve"> 2012 – Q2 2019</w:t>
      </w:r>
    </w:p>
    <w:p w14:paraId="087E823D" w14:textId="5FDF0CEA" w:rsidR="004D3F3C" w:rsidRDefault="004D3F3C" w:rsidP="00D36108">
      <w:pPr>
        <w:spacing w:after="200" w:line="276" w:lineRule="auto"/>
        <w:jc w:val="both"/>
        <w:rPr>
          <w:rFonts w:ascii="Arial" w:eastAsia="Times New Roman" w:hAnsi="Arial" w:cs="Arial"/>
          <w:b/>
        </w:rPr>
      </w:pPr>
      <w:r>
        <w:rPr>
          <w:rFonts w:ascii="Arial" w:eastAsia="Times New Roman" w:hAnsi="Arial" w:cs="Arial"/>
          <w:b/>
          <w:noProof/>
        </w:rPr>
        <w:drawing>
          <wp:inline distT="0" distB="0" distL="0" distR="0" wp14:anchorId="3179C3D3" wp14:editId="1BB9BD83">
            <wp:extent cx="6418053" cy="7099252"/>
            <wp:effectExtent l="0" t="0" r="190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40656" cy="7124254"/>
                    </a:xfrm>
                    <a:prstGeom prst="rect">
                      <a:avLst/>
                    </a:prstGeom>
                    <a:noFill/>
                  </pic:spPr>
                </pic:pic>
              </a:graphicData>
            </a:graphic>
          </wp:inline>
        </w:drawing>
      </w:r>
    </w:p>
    <w:p w14:paraId="0AFF4D4B" w14:textId="65E2D575" w:rsidR="00C05A0A" w:rsidRDefault="00C05A0A">
      <w:pPr>
        <w:spacing w:after="200" w:line="276" w:lineRule="auto"/>
        <w:rPr>
          <w:rFonts w:ascii="Arial" w:eastAsia="Times New Roman" w:hAnsi="Arial" w:cs="Arial"/>
          <w:b/>
        </w:rPr>
      </w:pPr>
      <w:r>
        <w:rPr>
          <w:rFonts w:ascii="Arial" w:eastAsia="Times New Roman" w:hAnsi="Arial" w:cs="Arial"/>
          <w:b/>
        </w:rPr>
        <w:br w:type="page"/>
      </w:r>
    </w:p>
    <w:p w14:paraId="4A23D626" w14:textId="77777777" w:rsidR="000E7CC9" w:rsidRDefault="000E7CC9" w:rsidP="00D36108">
      <w:pPr>
        <w:spacing w:after="200" w:line="276" w:lineRule="auto"/>
        <w:jc w:val="both"/>
        <w:rPr>
          <w:rFonts w:ascii="Arial" w:eastAsia="Times New Roman" w:hAnsi="Arial" w:cs="Arial"/>
          <w:b/>
        </w:rPr>
      </w:pPr>
    </w:p>
    <w:p w14:paraId="0C9EABB8" w14:textId="3B851EDD" w:rsidR="00CA71A8" w:rsidRDefault="00CA71A8" w:rsidP="00CA71A8">
      <w:pPr>
        <w:shd w:val="clear" w:color="auto" w:fill="FFFFFF"/>
        <w:jc w:val="center"/>
        <w:rPr>
          <w:rFonts w:ascii="Arial" w:eastAsia="Times New Roman" w:hAnsi="Arial" w:cs="Arial"/>
          <w:b/>
        </w:rPr>
      </w:pPr>
      <w:r>
        <w:rPr>
          <w:rFonts w:ascii="Arial" w:eastAsia="Times New Roman" w:hAnsi="Arial" w:cs="Arial"/>
          <w:b/>
        </w:rPr>
        <w:t>TABLE C</w:t>
      </w:r>
    </w:p>
    <w:p w14:paraId="00126DDA" w14:textId="2690ED3B" w:rsidR="00535180" w:rsidRDefault="00535180" w:rsidP="00CA71A8">
      <w:pPr>
        <w:shd w:val="clear" w:color="auto" w:fill="FFFFFF"/>
        <w:jc w:val="center"/>
        <w:rPr>
          <w:rFonts w:ascii="Arial" w:eastAsia="Times New Roman" w:hAnsi="Arial" w:cs="Arial"/>
          <w:b/>
        </w:rPr>
      </w:pPr>
      <w:r>
        <w:rPr>
          <w:rFonts w:ascii="Arial" w:eastAsia="Times New Roman" w:hAnsi="Arial" w:cs="Arial"/>
          <w:b/>
        </w:rPr>
        <w:t>FORCE APPLICATIONS REVIEWED IN FORCE BOARDS</w:t>
      </w:r>
    </w:p>
    <w:p w14:paraId="2901175A" w14:textId="36874FF0" w:rsidR="000E7CC9" w:rsidRPr="00E13F47" w:rsidRDefault="000E7CC9" w:rsidP="00CA71A8">
      <w:pPr>
        <w:shd w:val="clear" w:color="auto" w:fill="FFFFFF"/>
        <w:jc w:val="center"/>
        <w:rPr>
          <w:rFonts w:ascii="Arial" w:eastAsia="Times New Roman" w:hAnsi="Arial" w:cs="Arial"/>
          <w:b/>
        </w:rPr>
      </w:pPr>
      <w:r w:rsidRPr="00E13F47">
        <w:rPr>
          <w:rFonts w:ascii="Arial" w:eastAsia="Times New Roman" w:hAnsi="Arial" w:cs="Arial"/>
          <w:b/>
        </w:rPr>
        <w:t>January 1 through June 30, 2019</w:t>
      </w:r>
    </w:p>
    <w:p w14:paraId="29E9AE77" w14:textId="77777777" w:rsidR="000E7CC9" w:rsidRPr="00E13F47" w:rsidRDefault="000E7CC9" w:rsidP="000E7CC9">
      <w:pPr>
        <w:shd w:val="clear" w:color="auto" w:fill="FFFFFF"/>
        <w:jc w:val="both"/>
        <w:rPr>
          <w:rFonts w:ascii="Arial" w:eastAsia="Times New Roman" w:hAnsi="Arial" w:cs="Arial"/>
          <w:b/>
        </w:rPr>
      </w:pPr>
    </w:p>
    <w:tbl>
      <w:tblPr>
        <w:tblW w:w="10123" w:type="dxa"/>
        <w:tblInd w:w="-3" w:type="dxa"/>
        <w:tblCellMar>
          <w:left w:w="0" w:type="dxa"/>
          <w:right w:w="0" w:type="dxa"/>
        </w:tblCellMar>
        <w:tblLook w:val="04A0" w:firstRow="1" w:lastRow="0" w:firstColumn="1" w:lastColumn="0" w:noHBand="0" w:noVBand="1"/>
      </w:tblPr>
      <w:tblGrid>
        <w:gridCol w:w="1144"/>
        <w:gridCol w:w="1084"/>
        <w:gridCol w:w="7900"/>
      </w:tblGrid>
      <w:tr w:rsidR="000E7CC9" w:rsidRPr="00E13F47" w14:paraId="1C69E06B" w14:textId="77777777" w:rsidTr="00724B30">
        <w:trPr>
          <w:trHeight w:val="473"/>
        </w:trPr>
        <w:tc>
          <w:tcPr>
            <w:tcW w:w="11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D6CBBF" w14:textId="77777777" w:rsidR="000E7CC9" w:rsidRPr="00E13F47" w:rsidRDefault="000E7CC9" w:rsidP="00724B30">
            <w:pPr>
              <w:jc w:val="both"/>
              <w:rPr>
                <w:rFonts w:ascii="Arial" w:hAnsi="Arial" w:cs="Arial"/>
                <w:b/>
                <w:color w:val="000000"/>
              </w:rPr>
            </w:pPr>
            <w:r w:rsidRPr="00E13F47">
              <w:rPr>
                <w:rFonts w:ascii="Arial" w:hAnsi="Arial" w:cs="Arial"/>
                <w:b/>
                <w:color w:val="000000"/>
              </w:rPr>
              <w:t>Quantity</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5320EC" w14:textId="77777777" w:rsidR="000E7CC9" w:rsidRPr="00E13F47" w:rsidRDefault="000E7CC9" w:rsidP="00724B30">
            <w:pPr>
              <w:jc w:val="both"/>
              <w:rPr>
                <w:rFonts w:ascii="Arial" w:hAnsi="Arial" w:cs="Arial"/>
                <w:b/>
                <w:color w:val="000000"/>
              </w:rPr>
            </w:pPr>
            <w:r w:rsidRPr="00E13F47">
              <w:rPr>
                <w:rFonts w:ascii="Arial" w:hAnsi="Arial" w:cs="Arial"/>
                <w:b/>
                <w:color w:val="000000"/>
              </w:rPr>
              <w:t xml:space="preserve">UOF </w:t>
            </w:r>
            <w:r w:rsidRPr="00E13F47">
              <w:rPr>
                <w:rFonts w:ascii="Arial" w:hAnsi="Arial" w:cs="Arial"/>
                <w:b/>
                <w:color w:val="000000"/>
              </w:rPr>
              <w:br/>
              <w:t xml:space="preserve">Subtype </w:t>
            </w:r>
          </w:p>
        </w:tc>
        <w:tc>
          <w:tcPr>
            <w:tcW w:w="7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2E2F6" w14:textId="77777777" w:rsidR="000E7CC9" w:rsidRPr="00E13F47" w:rsidRDefault="000E7CC9" w:rsidP="00724B30">
            <w:pPr>
              <w:jc w:val="both"/>
              <w:rPr>
                <w:rFonts w:ascii="Arial" w:hAnsi="Arial" w:cs="Arial"/>
                <w:b/>
                <w:color w:val="000000"/>
              </w:rPr>
            </w:pPr>
            <w:r w:rsidRPr="00E13F47">
              <w:rPr>
                <w:rFonts w:ascii="Arial" w:hAnsi="Arial" w:cs="Arial"/>
                <w:b/>
                <w:color w:val="000000"/>
              </w:rPr>
              <w:t>UOF Subtype Description</w:t>
            </w:r>
          </w:p>
        </w:tc>
      </w:tr>
      <w:tr w:rsidR="000E7CC9" w:rsidRPr="00E13F47" w14:paraId="6727D647" w14:textId="77777777" w:rsidTr="00724B30">
        <w:trPr>
          <w:trHeight w:val="236"/>
        </w:trPr>
        <w:tc>
          <w:tcPr>
            <w:tcW w:w="1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D335D3" w14:textId="77777777" w:rsidR="000E7CC9" w:rsidRPr="00E13F47" w:rsidRDefault="000E7CC9" w:rsidP="00724B30">
            <w:pPr>
              <w:jc w:val="both"/>
              <w:rPr>
                <w:rFonts w:ascii="Arial" w:hAnsi="Arial" w:cs="Arial"/>
                <w:color w:val="000000"/>
              </w:rPr>
            </w:pPr>
            <w:r w:rsidRPr="00E13F47">
              <w:rPr>
                <w:rFonts w:ascii="Arial" w:hAnsi="Arial" w:cs="Arial"/>
                <w:color w:val="000000"/>
              </w:rPr>
              <w:t>9</w:t>
            </w:r>
          </w:p>
        </w:tc>
        <w:tc>
          <w:tcPr>
            <w:tcW w:w="10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C4A808" w14:textId="77777777" w:rsidR="000E7CC9" w:rsidRPr="00E13F47" w:rsidRDefault="000E7CC9" w:rsidP="00724B30">
            <w:pPr>
              <w:jc w:val="both"/>
              <w:rPr>
                <w:rFonts w:ascii="Arial" w:hAnsi="Arial" w:cs="Arial"/>
                <w:color w:val="000000"/>
              </w:rPr>
            </w:pPr>
            <w:r w:rsidRPr="00E13F47">
              <w:rPr>
                <w:rFonts w:ascii="Arial" w:hAnsi="Arial" w:cs="Arial"/>
                <w:color w:val="000000"/>
              </w:rPr>
              <w:t>9</w:t>
            </w:r>
          </w:p>
        </w:tc>
        <w:tc>
          <w:tcPr>
            <w:tcW w:w="7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F2693" w14:textId="77777777" w:rsidR="000E7CC9" w:rsidRPr="00E13F47" w:rsidRDefault="000E7CC9" w:rsidP="00724B30">
            <w:pPr>
              <w:jc w:val="both"/>
              <w:rPr>
                <w:rFonts w:ascii="Arial" w:hAnsi="Arial" w:cs="Arial"/>
                <w:color w:val="000000"/>
              </w:rPr>
            </w:pPr>
            <w:r w:rsidRPr="00E13F47">
              <w:rPr>
                <w:rFonts w:ascii="Arial" w:hAnsi="Arial" w:cs="Arial"/>
                <w:color w:val="000000"/>
              </w:rPr>
              <w:t>Strike to the Head (excluding impact weapon strikes)</w:t>
            </w:r>
          </w:p>
        </w:tc>
      </w:tr>
      <w:tr w:rsidR="000E7CC9" w:rsidRPr="00E13F47" w14:paraId="2358614F" w14:textId="77777777" w:rsidTr="00724B30">
        <w:trPr>
          <w:trHeight w:val="236"/>
        </w:trPr>
        <w:tc>
          <w:tcPr>
            <w:tcW w:w="1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544BD0" w14:textId="77777777" w:rsidR="000E7CC9" w:rsidRPr="00E13F47" w:rsidRDefault="000E7CC9" w:rsidP="00724B30">
            <w:pPr>
              <w:jc w:val="both"/>
              <w:rPr>
                <w:rFonts w:ascii="Arial" w:hAnsi="Arial" w:cs="Arial"/>
                <w:color w:val="000000"/>
              </w:rPr>
            </w:pPr>
            <w:r w:rsidRPr="00E13F47">
              <w:rPr>
                <w:rFonts w:ascii="Arial" w:hAnsi="Arial" w:cs="Arial"/>
                <w:color w:val="000000"/>
              </w:rPr>
              <w:t>15</w:t>
            </w:r>
          </w:p>
        </w:tc>
        <w:tc>
          <w:tcPr>
            <w:tcW w:w="10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ED6B98" w14:textId="77777777" w:rsidR="000E7CC9" w:rsidRPr="00E13F47" w:rsidRDefault="000E7CC9" w:rsidP="00724B30">
            <w:pPr>
              <w:jc w:val="both"/>
              <w:rPr>
                <w:rFonts w:ascii="Arial" w:hAnsi="Arial" w:cs="Arial"/>
                <w:color w:val="000000"/>
              </w:rPr>
            </w:pPr>
            <w:r w:rsidRPr="00E13F47">
              <w:rPr>
                <w:rFonts w:ascii="Arial" w:hAnsi="Arial" w:cs="Arial"/>
                <w:color w:val="000000"/>
              </w:rPr>
              <w:t>12</w:t>
            </w:r>
          </w:p>
        </w:tc>
        <w:tc>
          <w:tcPr>
            <w:tcW w:w="7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45519A" w14:textId="77777777" w:rsidR="000E7CC9" w:rsidRPr="00E13F47" w:rsidRDefault="000E7CC9" w:rsidP="00724B30">
            <w:pPr>
              <w:jc w:val="both"/>
              <w:rPr>
                <w:rFonts w:ascii="Arial" w:hAnsi="Arial" w:cs="Arial"/>
                <w:color w:val="000000"/>
              </w:rPr>
            </w:pPr>
            <w:r w:rsidRPr="00E13F47">
              <w:rPr>
                <w:rFonts w:ascii="Arial" w:hAnsi="Arial" w:cs="Arial"/>
                <w:color w:val="000000"/>
              </w:rPr>
              <w:t>Impact Weapon with Contact - Regardless of Injury</w:t>
            </w:r>
          </w:p>
        </w:tc>
      </w:tr>
      <w:tr w:rsidR="000E7CC9" w:rsidRPr="00E13F47" w14:paraId="52CAAB4C" w14:textId="77777777" w:rsidTr="00724B30">
        <w:trPr>
          <w:trHeight w:val="236"/>
        </w:trPr>
        <w:tc>
          <w:tcPr>
            <w:tcW w:w="1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99CE72" w14:textId="77777777" w:rsidR="000E7CC9" w:rsidRPr="00E13F47" w:rsidRDefault="000E7CC9" w:rsidP="00724B30">
            <w:pPr>
              <w:jc w:val="both"/>
              <w:rPr>
                <w:rFonts w:ascii="Arial" w:hAnsi="Arial" w:cs="Arial"/>
                <w:color w:val="000000"/>
              </w:rPr>
            </w:pPr>
            <w:r w:rsidRPr="00E13F47">
              <w:rPr>
                <w:rFonts w:ascii="Arial" w:hAnsi="Arial" w:cs="Arial"/>
                <w:color w:val="000000"/>
              </w:rPr>
              <w:t>1</w:t>
            </w:r>
          </w:p>
        </w:tc>
        <w:tc>
          <w:tcPr>
            <w:tcW w:w="10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91AE79" w14:textId="77777777" w:rsidR="000E7CC9" w:rsidRPr="00E13F47" w:rsidRDefault="000E7CC9" w:rsidP="00724B30">
            <w:pPr>
              <w:jc w:val="both"/>
              <w:rPr>
                <w:rFonts w:ascii="Arial" w:hAnsi="Arial" w:cs="Arial"/>
                <w:color w:val="000000"/>
              </w:rPr>
            </w:pPr>
            <w:r w:rsidRPr="00E13F47">
              <w:rPr>
                <w:rFonts w:ascii="Arial" w:hAnsi="Arial" w:cs="Arial"/>
                <w:color w:val="000000"/>
              </w:rPr>
              <w:t>13</w:t>
            </w:r>
          </w:p>
        </w:tc>
        <w:tc>
          <w:tcPr>
            <w:tcW w:w="7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DF479A" w14:textId="77777777" w:rsidR="000E7CC9" w:rsidRPr="00E13F47" w:rsidRDefault="000E7CC9" w:rsidP="00724B30">
            <w:pPr>
              <w:jc w:val="both"/>
              <w:rPr>
                <w:rFonts w:ascii="Arial" w:hAnsi="Arial" w:cs="Arial"/>
                <w:color w:val="000000"/>
              </w:rPr>
            </w:pPr>
            <w:r w:rsidRPr="00E13F47">
              <w:rPr>
                <w:rFonts w:ascii="Arial" w:hAnsi="Arial" w:cs="Arial"/>
                <w:color w:val="000000"/>
              </w:rPr>
              <w:t>Any Use of Force Resulting in Injury (Other than a Level 1 Force Type)</w:t>
            </w:r>
          </w:p>
        </w:tc>
      </w:tr>
      <w:tr w:rsidR="000E7CC9" w:rsidRPr="00E13F47" w14:paraId="74B69B60" w14:textId="77777777" w:rsidTr="00724B30">
        <w:trPr>
          <w:trHeight w:val="236"/>
        </w:trPr>
        <w:tc>
          <w:tcPr>
            <w:tcW w:w="1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1A5FF8" w14:textId="77777777" w:rsidR="000E7CC9" w:rsidRPr="00E13F47" w:rsidRDefault="000E7CC9" w:rsidP="00724B30">
            <w:pPr>
              <w:jc w:val="both"/>
              <w:rPr>
                <w:rFonts w:ascii="Arial" w:hAnsi="Arial" w:cs="Arial"/>
                <w:color w:val="000000"/>
              </w:rPr>
            </w:pPr>
            <w:r w:rsidRPr="00E13F47">
              <w:rPr>
                <w:rFonts w:ascii="Arial" w:hAnsi="Arial" w:cs="Arial"/>
                <w:color w:val="000000"/>
              </w:rPr>
              <w:t>1</w:t>
            </w:r>
          </w:p>
        </w:tc>
        <w:tc>
          <w:tcPr>
            <w:tcW w:w="10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E0935F" w14:textId="77777777" w:rsidR="000E7CC9" w:rsidRPr="00E13F47" w:rsidRDefault="000E7CC9" w:rsidP="00724B30">
            <w:pPr>
              <w:jc w:val="both"/>
              <w:rPr>
                <w:rFonts w:ascii="Arial" w:hAnsi="Arial" w:cs="Arial"/>
                <w:color w:val="000000"/>
              </w:rPr>
            </w:pPr>
            <w:r w:rsidRPr="00E13F47">
              <w:rPr>
                <w:rFonts w:ascii="Arial" w:hAnsi="Arial" w:cs="Arial"/>
                <w:color w:val="000000"/>
              </w:rPr>
              <w:t>14</w:t>
            </w:r>
          </w:p>
        </w:tc>
        <w:tc>
          <w:tcPr>
            <w:tcW w:w="7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827B07" w14:textId="77777777" w:rsidR="000E7CC9" w:rsidRPr="00E13F47" w:rsidRDefault="000E7CC9" w:rsidP="00724B30">
            <w:pPr>
              <w:jc w:val="both"/>
              <w:rPr>
                <w:rFonts w:ascii="Arial" w:hAnsi="Arial" w:cs="Arial"/>
                <w:color w:val="000000"/>
              </w:rPr>
            </w:pPr>
            <w:r w:rsidRPr="00E13F47">
              <w:rPr>
                <w:rFonts w:ascii="Arial" w:hAnsi="Arial" w:cs="Arial"/>
                <w:color w:val="000000"/>
              </w:rPr>
              <w:t>Police Canine Bites Clothing, Skin or Injures a Person Beyond First Aid</w:t>
            </w:r>
          </w:p>
        </w:tc>
      </w:tr>
      <w:tr w:rsidR="000E7CC9" w:rsidRPr="00E13F47" w14:paraId="5B8ED301" w14:textId="77777777" w:rsidTr="00724B30">
        <w:trPr>
          <w:trHeight w:val="1188"/>
        </w:trPr>
        <w:tc>
          <w:tcPr>
            <w:tcW w:w="1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7397EE" w14:textId="77777777" w:rsidR="000E7CC9" w:rsidRPr="00E13F47" w:rsidRDefault="000E7CC9" w:rsidP="00724B30">
            <w:pPr>
              <w:jc w:val="both"/>
              <w:rPr>
                <w:rFonts w:ascii="Arial" w:hAnsi="Arial" w:cs="Arial"/>
                <w:color w:val="000000"/>
              </w:rPr>
            </w:pPr>
            <w:r w:rsidRPr="00E13F47">
              <w:rPr>
                <w:rFonts w:ascii="Arial" w:hAnsi="Arial" w:cs="Arial"/>
                <w:color w:val="000000"/>
              </w:rPr>
              <w:t>4</w:t>
            </w:r>
          </w:p>
        </w:tc>
        <w:tc>
          <w:tcPr>
            <w:tcW w:w="10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98483A" w14:textId="77777777" w:rsidR="000E7CC9" w:rsidRPr="00E13F47" w:rsidRDefault="000E7CC9" w:rsidP="00724B30">
            <w:pPr>
              <w:jc w:val="both"/>
              <w:rPr>
                <w:rFonts w:ascii="Arial" w:hAnsi="Arial" w:cs="Arial"/>
                <w:color w:val="000000"/>
              </w:rPr>
            </w:pPr>
            <w:r w:rsidRPr="00E13F47">
              <w:rPr>
                <w:rFonts w:ascii="Arial" w:hAnsi="Arial" w:cs="Arial"/>
                <w:color w:val="000000"/>
              </w:rPr>
              <w:t>15</w:t>
            </w:r>
          </w:p>
        </w:tc>
        <w:tc>
          <w:tcPr>
            <w:tcW w:w="7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17867B" w14:textId="77777777" w:rsidR="000E7CC9" w:rsidRPr="00E13F47" w:rsidRDefault="000E7CC9" w:rsidP="00724B30">
            <w:pPr>
              <w:rPr>
                <w:rFonts w:ascii="Arial" w:hAnsi="Arial" w:cs="Arial"/>
                <w:color w:val="000000"/>
              </w:rPr>
            </w:pPr>
            <w:r w:rsidRPr="00E13F47">
              <w:rPr>
                <w:rFonts w:ascii="Arial" w:hAnsi="Arial" w:cs="Arial"/>
                <w:color w:val="000000"/>
              </w:rPr>
              <w:t xml:space="preserve">Other (Investigated as a Level 2) </w:t>
            </w:r>
            <w:r w:rsidRPr="00E13F47">
              <w:rPr>
                <w:rFonts w:ascii="Arial" w:hAnsi="Arial" w:cs="Arial"/>
                <w:color w:val="000000"/>
              </w:rPr>
              <w:br/>
              <w:t>- 15 (Non-categorized UOF)</w:t>
            </w:r>
            <w:r w:rsidRPr="00E13F47">
              <w:rPr>
                <w:rFonts w:ascii="Arial" w:hAnsi="Arial" w:cs="Arial"/>
                <w:color w:val="000000"/>
              </w:rPr>
              <w:br/>
              <w:t>- 15-18 (Electronic Control Weapon but Probes Missed)</w:t>
            </w:r>
            <w:r w:rsidRPr="00E13F47">
              <w:rPr>
                <w:rFonts w:ascii="Arial" w:hAnsi="Arial" w:cs="Arial"/>
                <w:color w:val="000000"/>
              </w:rPr>
              <w:br/>
              <w:t>- 15-16 (Weaponless Defense Technique Other than Control Hold)</w:t>
            </w:r>
            <w:r w:rsidRPr="00E13F47">
              <w:rPr>
                <w:rFonts w:ascii="Arial" w:hAnsi="Arial" w:cs="Arial"/>
                <w:color w:val="000000"/>
              </w:rPr>
              <w:br/>
              <w:t>- 15-11 (Electronic Control Weapon)</w:t>
            </w:r>
          </w:p>
        </w:tc>
      </w:tr>
      <w:tr w:rsidR="000E7CC9" w:rsidRPr="00E13F47" w14:paraId="019DB3A1" w14:textId="77777777" w:rsidTr="00724B30">
        <w:trPr>
          <w:trHeight w:val="236"/>
        </w:trPr>
        <w:tc>
          <w:tcPr>
            <w:tcW w:w="1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41C1A8" w14:textId="77777777" w:rsidR="000E7CC9" w:rsidRPr="00E13F47" w:rsidRDefault="000E7CC9" w:rsidP="00724B30">
            <w:pPr>
              <w:jc w:val="both"/>
              <w:rPr>
                <w:rFonts w:ascii="Arial" w:hAnsi="Arial" w:cs="Arial"/>
                <w:color w:val="000000"/>
              </w:rPr>
            </w:pPr>
            <w:r w:rsidRPr="00E13F47">
              <w:rPr>
                <w:rFonts w:ascii="Arial" w:hAnsi="Arial" w:cs="Arial"/>
                <w:color w:val="000000"/>
              </w:rPr>
              <w:t>15</w:t>
            </w:r>
          </w:p>
        </w:tc>
        <w:tc>
          <w:tcPr>
            <w:tcW w:w="10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AF10EA" w14:textId="77777777" w:rsidR="000E7CC9" w:rsidRPr="00E13F47" w:rsidRDefault="000E7CC9" w:rsidP="00724B30">
            <w:pPr>
              <w:jc w:val="both"/>
              <w:rPr>
                <w:rFonts w:ascii="Arial" w:hAnsi="Arial" w:cs="Arial"/>
                <w:color w:val="000000"/>
              </w:rPr>
            </w:pPr>
            <w:r w:rsidRPr="00E13F47">
              <w:rPr>
                <w:rFonts w:ascii="Arial" w:hAnsi="Arial" w:cs="Arial"/>
                <w:color w:val="000000"/>
              </w:rPr>
              <w:t>11</w:t>
            </w:r>
          </w:p>
        </w:tc>
        <w:tc>
          <w:tcPr>
            <w:tcW w:w="7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28B467" w14:textId="77777777" w:rsidR="000E7CC9" w:rsidRPr="00E13F47" w:rsidRDefault="000E7CC9" w:rsidP="00724B30">
            <w:pPr>
              <w:jc w:val="both"/>
              <w:rPr>
                <w:rFonts w:ascii="Arial" w:hAnsi="Arial" w:cs="Arial"/>
                <w:color w:val="000000"/>
              </w:rPr>
            </w:pPr>
            <w:r w:rsidRPr="00E13F47">
              <w:rPr>
                <w:rFonts w:ascii="Arial" w:hAnsi="Arial" w:cs="Arial"/>
                <w:color w:val="000000"/>
              </w:rPr>
              <w:t>Electronic Control Weapon</w:t>
            </w:r>
          </w:p>
        </w:tc>
      </w:tr>
      <w:tr w:rsidR="000E7CC9" w:rsidRPr="00E13F47" w14:paraId="11250E19" w14:textId="77777777" w:rsidTr="00724B30">
        <w:trPr>
          <w:trHeight w:val="236"/>
        </w:trPr>
        <w:tc>
          <w:tcPr>
            <w:tcW w:w="1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00E3A9" w14:textId="77777777" w:rsidR="000E7CC9" w:rsidRPr="00E13F47" w:rsidRDefault="000E7CC9" w:rsidP="00724B30">
            <w:pPr>
              <w:jc w:val="both"/>
              <w:rPr>
                <w:rFonts w:ascii="Arial" w:hAnsi="Arial" w:cs="Arial"/>
                <w:color w:val="000000"/>
              </w:rPr>
            </w:pPr>
            <w:r w:rsidRPr="00E13F47">
              <w:rPr>
                <w:rFonts w:ascii="Arial" w:hAnsi="Arial" w:cs="Arial"/>
                <w:color w:val="000000"/>
              </w:rPr>
              <w:t>12</w:t>
            </w:r>
          </w:p>
        </w:tc>
        <w:tc>
          <w:tcPr>
            <w:tcW w:w="10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2A7867" w14:textId="77777777" w:rsidR="000E7CC9" w:rsidRPr="00E13F47" w:rsidRDefault="000E7CC9" w:rsidP="00724B30">
            <w:pPr>
              <w:jc w:val="both"/>
              <w:rPr>
                <w:rFonts w:ascii="Arial" w:hAnsi="Arial" w:cs="Arial"/>
                <w:color w:val="000000"/>
              </w:rPr>
            </w:pPr>
            <w:r w:rsidRPr="00E13F47">
              <w:rPr>
                <w:rFonts w:ascii="Arial" w:hAnsi="Arial" w:cs="Arial"/>
                <w:color w:val="000000"/>
              </w:rPr>
              <w:t>16</w:t>
            </w:r>
          </w:p>
        </w:tc>
        <w:tc>
          <w:tcPr>
            <w:tcW w:w="7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59DAA1" w14:textId="77777777" w:rsidR="000E7CC9" w:rsidRPr="00E13F47" w:rsidRDefault="000E7CC9" w:rsidP="00724B30">
            <w:pPr>
              <w:jc w:val="both"/>
              <w:rPr>
                <w:rFonts w:ascii="Arial" w:hAnsi="Arial" w:cs="Arial"/>
                <w:color w:val="000000"/>
              </w:rPr>
            </w:pPr>
            <w:r w:rsidRPr="00E13F47">
              <w:rPr>
                <w:rFonts w:ascii="Arial" w:hAnsi="Arial" w:cs="Arial"/>
                <w:color w:val="000000"/>
              </w:rPr>
              <w:t>Weaponless Defense Technique Other than Control Hold</w:t>
            </w:r>
          </w:p>
        </w:tc>
      </w:tr>
      <w:tr w:rsidR="000E7CC9" w:rsidRPr="00E13F47" w14:paraId="367E65F4" w14:textId="77777777" w:rsidTr="00724B30">
        <w:trPr>
          <w:trHeight w:val="236"/>
        </w:trPr>
        <w:tc>
          <w:tcPr>
            <w:tcW w:w="1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9A885F" w14:textId="77777777" w:rsidR="000E7CC9" w:rsidRPr="00E13F47" w:rsidRDefault="000E7CC9" w:rsidP="00724B30">
            <w:pPr>
              <w:jc w:val="both"/>
              <w:rPr>
                <w:rFonts w:ascii="Arial" w:hAnsi="Arial" w:cs="Arial"/>
                <w:color w:val="000000"/>
              </w:rPr>
            </w:pPr>
            <w:r w:rsidRPr="00E13F47">
              <w:rPr>
                <w:rFonts w:ascii="Arial" w:hAnsi="Arial" w:cs="Arial"/>
                <w:color w:val="000000"/>
              </w:rPr>
              <w:t>2</w:t>
            </w:r>
          </w:p>
        </w:tc>
        <w:tc>
          <w:tcPr>
            <w:tcW w:w="10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6E77F2" w14:textId="77777777" w:rsidR="000E7CC9" w:rsidRPr="00E13F47" w:rsidRDefault="000E7CC9" w:rsidP="00724B30">
            <w:pPr>
              <w:jc w:val="both"/>
              <w:rPr>
                <w:rFonts w:ascii="Arial" w:hAnsi="Arial" w:cs="Arial"/>
                <w:color w:val="000000"/>
              </w:rPr>
            </w:pPr>
            <w:r w:rsidRPr="00E13F47">
              <w:rPr>
                <w:rFonts w:ascii="Arial" w:hAnsi="Arial" w:cs="Arial"/>
                <w:color w:val="000000"/>
              </w:rPr>
              <w:t>18</w:t>
            </w:r>
          </w:p>
        </w:tc>
        <w:tc>
          <w:tcPr>
            <w:tcW w:w="7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FC4F63" w14:textId="77777777" w:rsidR="000E7CC9" w:rsidRPr="00E13F47" w:rsidRDefault="000E7CC9" w:rsidP="00724B30">
            <w:pPr>
              <w:jc w:val="both"/>
              <w:rPr>
                <w:rFonts w:ascii="Arial" w:hAnsi="Arial" w:cs="Arial"/>
                <w:color w:val="000000"/>
              </w:rPr>
            </w:pPr>
            <w:r w:rsidRPr="00E13F47">
              <w:rPr>
                <w:rFonts w:ascii="Arial" w:hAnsi="Arial" w:cs="Arial"/>
                <w:color w:val="000000"/>
              </w:rPr>
              <w:t>Electronic Control Weapon but Probes Missed</w:t>
            </w:r>
          </w:p>
        </w:tc>
      </w:tr>
      <w:tr w:rsidR="000E7CC9" w:rsidRPr="00E13F47" w14:paraId="1E673061" w14:textId="77777777" w:rsidTr="00724B30">
        <w:trPr>
          <w:trHeight w:val="236"/>
        </w:trPr>
        <w:tc>
          <w:tcPr>
            <w:tcW w:w="1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1A0514" w14:textId="77777777" w:rsidR="000E7CC9" w:rsidRPr="00E13F47" w:rsidRDefault="000E7CC9" w:rsidP="00724B30">
            <w:pPr>
              <w:jc w:val="both"/>
              <w:rPr>
                <w:rFonts w:ascii="Arial" w:hAnsi="Arial" w:cs="Arial"/>
                <w:color w:val="000000"/>
              </w:rPr>
            </w:pPr>
            <w:r w:rsidRPr="00E13F47">
              <w:rPr>
                <w:rFonts w:ascii="Arial" w:hAnsi="Arial" w:cs="Arial"/>
                <w:color w:val="000000"/>
              </w:rPr>
              <w:t>1</w:t>
            </w:r>
          </w:p>
        </w:tc>
        <w:tc>
          <w:tcPr>
            <w:tcW w:w="10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19606" w14:textId="77777777" w:rsidR="000E7CC9" w:rsidRPr="00E13F47" w:rsidRDefault="000E7CC9" w:rsidP="00724B30">
            <w:pPr>
              <w:jc w:val="both"/>
              <w:rPr>
                <w:rFonts w:ascii="Arial" w:hAnsi="Arial" w:cs="Arial"/>
                <w:color w:val="000000"/>
              </w:rPr>
            </w:pPr>
            <w:r w:rsidRPr="00E13F47">
              <w:rPr>
                <w:rFonts w:ascii="Arial" w:hAnsi="Arial" w:cs="Arial"/>
                <w:color w:val="000000"/>
              </w:rPr>
              <w:t>19</w:t>
            </w:r>
          </w:p>
        </w:tc>
        <w:tc>
          <w:tcPr>
            <w:tcW w:w="7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254224" w14:textId="77777777" w:rsidR="000E7CC9" w:rsidRPr="00E13F47" w:rsidRDefault="000E7CC9" w:rsidP="00724B30">
            <w:pPr>
              <w:jc w:val="both"/>
              <w:rPr>
                <w:rFonts w:ascii="Arial" w:hAnsi="Arial" w:cs="Arial"/>
                <w:color w:val="000000"/>
              </w:rPr>
            </w:pPr>
            <w:r w:rsidRPr="00E13F47">
              <w:rPr>
                <w:rFonts w:ascii="Arial" w:hAnsi="Arial" w:cs="Arial"/>
                <w:color w:val="000000"/>
              </w:rPr>
              <w:t>Non-Striking Use of a Baton</w:t>
            </w:r>
          </w:p>
        </w:tc>
      </w:tr>
      <w:tr w:rsidR="000E7CC9" w:rsidRPr="00E13F47" w14:paraId="21C34B5C" w14:textId="77777777" w:rsidTr="00724B30">
        <w:trPr>
          <w:trHeight w:val="236"/>
        </w:trPr>
        <w:tc>
          <w:tcPr>
            <w:tcW w:w="1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B7AFC8" w14:textId="77777777" w:rsidR="000E7CC9" w:rsidRPr="00E13F47" w:rsidRDefault="000E7CC9" w:rsidP="00724B30">
            <w:pPr>
              <w:jc w:val="both"/>
              <w:rPr>
                <w:rFonts w:ascii="Arial" w:hAnsi="Arial" w:cs="Arial"/>
                <w:color w:val="000000"/>
              </w:rPr>
            </w:pPr>
            <w:r w:rsidRPr="00E13F47">
              <w:rPr>
                <w:rFonts w:ascii="Arial" w:hAnsi="Arial" w:cs="Arial"/>
                <w:color w:val="000000"/>
              </w:rPr>
              <w:t>2</w:t>
            </w:r>
          </w:p>
        </w:tc>
        <w:tc>
          <w:tcPr>
            <w:tcW w:w="10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DF94D9" w14:textId="77777777" w:rsidR="000E7CC9" w:rsidRPr="00E13F47" w:rsidRDefault="000E7CC9" w:rsidP="00724B30">
            <w:pPr>
              <w:jc w:val="both"/>
              <w:rPr>
                <w:rFonts w:ascii="Arial" w:hAnsi="Arial" w:cs="Arial"/>
                <w:color w:val="000000"/>
              </w:rPr>
            </w:pPr>
            <w:r w:rsidRPr="00E13F47">
              <w:rPr>
                <w:rFonts w:ascii="Arial" w:hAnsi="Arial" w:cs="Arial"/>
                <w:color w:val="000000"/>
              </w:rPr>
              <w:t>22</w:t>
            </w:r>
          </w:p>
        </w:tc>
        <w:tc>
          <w:tcPr>
            <w:tcW w:w="7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5E3927" w14:textId="77777777" w:rsidR="000E7CC9" w:rsidRPr="00E13F47" w:rsidRDefault="000E7CC9" w:rsidP="00724B30">
            <w:pPr>
              <w:jc w:val="both"/>
              <w:rPr>
                <w:rFonts w:ascii="Arial" w:hAnsi="Arial" w:cs="Arial"/>
                <w:color w:val="000000"/>
              </w:rPr>
            </w:pPr>
            <w:r w:rsidRPr="00E13F47">
              <w:rPr>
                <w:rFonts w:ascii="Arial" w:hAnsi="Arial" w:cs="Arial"/>
                <w:color w:val="000000"/>
              </w:rPr>
              <w:t>Intentionally Pointing a Firearm at a Person</w:t>
            </w:r>
          </w:p>
        </w:tc>
      </w:tr>
    </w:tbl>
    <w:p w14:paraId="06F64039" w14:textId="77777777" w:rsidR="008B096D" w:rsidRDefault="008B096D" w:rsidP="0071396F">
      <w:pPr>
        <w:spacing w:line="276" w:lineRule="auto"/>
        <w:jc w:val="center"/>
        <w:rPr>
          <w:rFonts w:ascii="Arial" w:eastAsia="Times New Roman" w:hAnsi="Arial" w:cs="Arial"/>
          <w:b/>
        </w:rPr>
      </w:pPr>
    </w:p>
    <w:p w14:paraId="271EC916" w14:textId="1A7E9D1F" w:rsidR="00447223" w:rsidRDefault="00447223" w:rsidP="0071396F">
      <w:pPr>
        <w:spacing w:line="276" w:lineRule="auto"/>
        <w:jc w:val="center"/>
        <w:rPr>
          <w:rFonts w:ascii="Arial" w:eastAsia="Times New Roman" w:hAnsi="Arial" w:cs="Arial"/>
          <w:b/>
        </w:rPr>
      </w:pPr>
      <w:r>
        <w:rPr>
          <w:rFonts w:ascii="Arial" w:eastAsia="Times New Roman" w:hAnsi="Arial" w:cs="Arial"/>
          <w:b/>
        </w:rPr>
        <w:t xml:space="preserve">TABLE </w:t>
      </w:r>
      <w:r w:rsidR="00243A7A">
        <w:rPr>
          <w:rFonts w:ascii="Arial" w:eastAsia="Times New Roman" w:hAnsi="Arial" w:cs="Arial"/>
          <w:b/>
        </w:rPr>
        <w:t>D</w:t>
      </w:r>
    </w:p>
    <w:p w14:paraId="58E6F15A" w14:textId="185FDB9C" w:rsidR="00447223" w:rsidRDefault="00447223" w:rsidP="0071396F">
      <w:pPr>
        <w:spacing w:line="276" w:lineRule="auto"/>
        <w:jc w:val="center"/>
        <w:rPr>
          <w:rFonts w:ascii="Arial" w:eastAsia="Times New Roman" w:hAnsi="Arial" w:cs="Arial"/>
          <w:b/>
        </w:rPr>
      </w:pPr>
      <w:r>
        <w:rPr>
          <w:rFonts w:ascii="Arial" w:eastAsia="Times New Roman" w:hAnsi="Arial" w:cs="Arial"/>
          <w:b/>
        </w:rPr>
        <w:t>OP</w:t>
      </w:r>
      <w:r w:rsidR="0071396F">
        <w:rPr>
          <w:rFonts w:ascii="Arial" w:eastAsia="Times New Roman" w:hAnsi="Arial" w:cs="Arial"/>
          <w:b/>
        </w:rPr>
        <w:t>D EMPLOYEE DEMOGRAPHICS</w:t>
      </w:r>
    </w:p>
    <w:p w14:paraId="3078B701" w14:textId="77777777" w:rsidR="0071396F" w:rsidRDefault="0071396F" w:rsidP="0071396F">
      <w:pPr>
        <w:spacing w:line="276" w:lineRule="auto"/>
        <w:jc w:val="center"/>
        <w:rPr>
          <w:rFonts w:ascii="Arial" w:eastAsia="Times New Roman" w:hAnsi="Arial" w:cs="Arial"/>
          <w:b/>
        </w:rPr>
      </w:pPr>
    </w:p>
    <w:p w14:paraId="17350715" w14:textId="0DB0E2C6" w:rsidR="001220E7" w:rsidRPr="00E13F47" w:rsidRDefault="001220E7" w:rsidP="001220E7">
      <w:pPr>
        <w:jc w:val="both"/>
        <w:rPr>
          <w:rFonts w:ascii="Arial" w:eastAsia="Times New Roman" w:hAnsi="Arial" w:cs="Arial"/>
          <w:b/>
        </w:rPr>
      </w:pPr>
      <w:r w:rsidRPr="00E13F47">
        <w:rPr>
          <w:rFonts w:ascii="Arial" w:eastAsia="Times New Roman" w:hAnsi="Arial" w:cs="Arial"/>
          <w:b/>
        </w:rPr>
        <w:t xml:space="preserve">OPD </w:t>
      </w:r>
      <w:r w:rsidR="006962DC">
        <w:rPr>
          <w:rFonts w:ascii="Arial" w:eastAsia="Times New Roman" w:hAnsi="Arial" w:cs="Arial"/>
          <w:b/>
        </w:rPr>
        <w:t>ALL – PROFESSIONAL AND SWORN STAFF</w:t>
      </w:r>
    </w:p>
    <w:tbl>
      <w:tblPr>
        <w:tblStyle w:val="TableGrid"/>
        <w:tblW w:w="0" w:type="auto"/>
        <w:tblLook w:val="04A0" w:firstRow="1" w:lastRow="0" w:firstColumn="1" w:lastColumn="0" w:noHBand="0" w:noVBand="1"/>
      </w:tblPr>
      <w:tblGrid>
        <w:gridCol w:w="2515"/>
        <w:gridCol w:w="1283"/>
        <w:gridCol w:w="1283"/>
        <w:gridCol w:w="1283"/>
        <w:gridCol w:w="1283"/>
        <w:gridCol w:w="1283"/>
        <w:gridCol w:w="1284"/>
      </w:tblGrid>
      <w:tr w:rsidR="001220E7" w:rsidRPr="00E13F47" w14:paraId="09D3FA17" w14:textId="77777777" w:rsidTr="00724B30">
        <w:tc>
          <w:tcPr>
            <w:tcW w:w="2515" w:type="dxa"/>
          </w:tcPr>
          <w:p w14:paraId="685D62AE" w14:textId="77777777" w:rsidR="001220E7" w:rsidRPr="00E13F47" w:rsidRDefault="001220E7" w:rsidP="00724B30">
            <w:pPr>
              <w:rPr>
                <w:rFonts w:ascii="Arial" w:eastAsia="Times New Roman" w:hAnsi="Arial" w:cs="Arial"/>
                <w:b/>
              </w:rPr>
            </w:pPr>
            <w:r w:rsidRPr="00E13F47">
              <w:rPr>
                <w:rFonts w:ascii="Arial" w:eastAsia="Times New Roman" w:hAnsi="Arial" w:cs="Arial"/>
                <w:b/>
              </w:rPr>
              <w:t>Race/Ethnicity</w:t>
            </w:r>
          </w:p>
        </w:tc>
        <w:tc>
          <w:tcPr>
            <w:tcW w:w="1283" w:type="dxa"/>
          </w:tcPr>
          <w:p w14:paraId="619F93F0" w14:textId="77777777" w:rsidR="001220E7" w:rsidRPr="00E13F47" w:rsidRDefault="001220E7" w:rsidP="00724B30">
            <w:pPr>
              <w:jc w:val="center"/>
              <w:rPr>
                <w:rFonts w:ascii="Arial" w:eastAsia="Times New Roman" w:hAnsi="Arial" w:cs="Arial"/>
                <w:b/>
              </w:rPr>
            </w:pPr>
            <w:r w:rsidRPr="00E13F47">
              <w:rPr>
                <w:rFonts w:ascii="Arial" w:eastAsia="Times New Roman" w:hAnsi="Arial" w:cs="Arial"/>
                <w:b/>
              </w:rPr>
              <w:t>Female #</w:t>
            </w:r>
          </w:p>
        </w:tc>
        <w:tc>
          <w:tcPr>
            <w:tcW w:w="1283" w:type="dxa"/>
          </w:tcPr>
          <w:p w14:paraId="41FB3927" w14:textId="77777777" w:rsidR="001220E7" w:rsidRPr="00E13F47" w:rsidRDefault="001220E7" w:rsidP="00724B30">
            <w:pPr>
              <w:jc w:val="center"/>
              <w:rPr>
                <w:rFonts w:ascii="Arial" w:eastAsia="Times New Roman" w:hAnsi="Arial" w:cs="Arial"/>
                <w:b/>
              </w:rPr>
            </w:pPr>
            <w:r w:rsidRPr="00E13F47">
              <w:rPr>
                <w:rFonts w:ascii="Arial" w:eastAsia="Times New Roman" w:hAnsi="Arial" w:cs="Arial"/>
                <w:b/>
              </w:rPr>
              <w:t>Female %</w:t>
            </w:r>
          </w:p>
        </w:tc>
        <w:tc>
          <w:tcPr>
            <w:tcW w:w="1283" w:type="dxa"/>
          </w:tcPr>
          <w:p w14:paraId="5DCC5446" w14:textId="77777777" w:rsidR="001220E7" w:rsidRPr="00E13F47" w:rsidRDefault="001220E7" w:rsidP="00724B30">
            <w:pPr>
              <w:jc w:val="center"/>
              <w:rPr>
                <w:rFonts w:ascii="Arial" w:eastAsia="Times New Roman" w:hAnsi="Arial" w:cs="Arial"/>
                <w:b/>
              </w:rPr>
            </w:pPr>
            <w:r w:rsidRPr="00E13F47">
              <w:rPr>
                <w:rFonts w:ascii="Arial" w:eastAsia="Times New Roman" w:hAnsi="Arial" w:cs="Arial"/>
                <w:b/>
              </w:rPr>
              <w:t>Male #</w:t>
            </w:r>
          </w:p>
        </w:tc>
        <w:tc>
          <w:tcPr>
            <w:tcW w:w="1283" w:type="dxa"/>
          </w:tcPr>
          <w:p w14:paraId="02C9E9BC" w14:textId="77777777" w:rsidR="001220E7" w:rsidRPr="00E13F47" w:rsidRDefault="001220E7" w:rsidP="00724B30">
            <w:pPr>
              <w:jc w:val="center"/>
              <w:rPr>
                <w:rFonts w:ascii="Arial" w:eastAsia="Times New Roman" w:hAnsi="Arial" w:cs="Arial"/>
                <w:b/>
              </w:rPr>
            </w:pPr>
            <w:r w:rsidRPr="00E13F47">
              <w:rPr>
                <w:rFonts w:ascii="Arial" w:eastAsia="Times New Roman" w:hAnsi="Arial" w:cs="Arial"/>
                <w:b/>
              </w:rPr>
              <w:t>Male %</w:t>
            </w:r>
          </w:p>
        </w:tc>
        <w:tc>
          <w:tcPr>
            <w:tcW w:w="1283" w:type="dxa"/>
          </w:tcPr>
          <w:p w14:paraId="17187EC8" w14:textId="77777777" w:rsidR="001220E7" w:rsidRPr="00E13F47" w:rsidRDefault="001220E7" w:rsidP="00724B30">
            <w:pPr>
              <w:jc w:val="center"/>
              <w:rPr>
                <w:rFonts w:ascii="Arial" w:eastAsia="Times New Roman" w:hAnsi="Arial" w:cs="Arial"/>
                <w:b/>
              </w:rPr>
            </w:pPr>
            <w:r w:rsidRPr="00E13F47">
              <w:rPr>
                <w:rFonts w:ascii="Arial" w:eastAsia="Times New Roman" w:hAnsi="Arial" w:cs="Arial"/>
                <w:b/>
              </w:rPr>
              <w:t>TOTAL</w:t>
            </w:r>
          </w:p>
        </w:tc>
        <w:tc>
          <w:tcPr>
            <w:tcW w:w="1284" w:type="dxa"/>
          </w:tcPr>
          <w:p w14:paraId="21C47BF4" w14:textId="77777777" w:rsidR="001220E7" w:rsidRPr="00E13F47" w:rsidRDefault="001220E7" w:rsidP="00724B30">
            <w:pPr>
              <w:jc w:val="center"/>
              <w:rPr>
                <w:rFonts w:ascii="Arial" w:eastAsia="Times New Roman" w:hAnsi="Arial" w:cs="Arial"/>
                <w:b/>
              </w:rPr>
            </w:pPr>
            <w:r w:rsidRPr="00E13F47">
              <w:rPr>
                <w:rFonts w:ascii="Arial" w:eastAsia="Times New Roman" w:hAnsi="Arial" w:cs="Arial"/>
                <w:b/>
              </w:rPr>
              <w:t>%</w:t>
            </w:r>
          </w:p>
        </w:tc>
      </w:tr>
      <w:tr w:rsidR="001220E7" w:rsidRPr="00E13F47" w14:paraId="72A5757D" w14:textId="77777777" w:rsidTr="00724B30">
        <w:tc>
          <w:tcPr>
            <w:tcW w:w="2515" w:type="dxa"/>
          </w:tcPr>
          <w:p w14:paraId="242DEB8C" w14:textId="77777777" w:rsidR="001220E7" w:rsidRPr="00E13F47" w:rsidRDefault="001220E7" w:rsidP="00724B30">
            <w:pPr>
              <w:rPr>
                <w:rFonts w:ascii="Arial" w:eastAsia="Times New Roman" w:hAnsi="Arial" w:cs="Arial"/>
                <w:bCs/>
              </w:rPr>
            </w:pPr>
            <w:r w:rsidRPr="00E13F47">
              <w:rPr>
                <w:rFonts w:ascii="Arial" w:eastAsia="Times New Roman" w:hAnsi="Arial" w:cs="Arial"/>
                <w:bCs/>
              </w:rPr>
              <w:t>Asian</w:t>
            </w:r>
          </w:p>
        </w:tc>
        <w:tc>
          <w:tcPr>
            <w:tcW w:w="1283" w:type="dxa"/>
            <w:tcBorders>
              <w:top w:val="nil"/>
              <w:left w:val="nil"/>
              <w:bottom w:val="single" w:sz="8" w:space="0" w:color="auto"/>
              <w:right w:val="single" w:sz="8" w:space="0" w:color="auto"/>
            </w:tcBorders>
            <w:shd w:val="clear" w:color="auto" w:fill="auto"/>
            <w:vAlign w:val="center"/>
          </w:tcPr>
          <w:p w14:paraId="10B20D43"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48</w:t>
            </w:r>
          </w:p>
        </w:tc>
        <w:tc>
          <w:tcPr>
            <w:tcW w:w="1283" w:type="dxa"/>
            <w:tcBorders>
              <w:top w:val="nil"/>
              <w:left w:val="nil"/>
              <w:bottom w:val="single" w:sz="8" w:space="0" w:color="auto"/>
              <w:right w:val="single" w:sz="8" w:space="0" w:color="auto"/>
            </w:tcBorders>
            <w:shd w:val="clear" w:color="auto" w:fill="auto"/>
            <w:vAlign w:val="center"/>
          </w:tcPr>
          <w:p w14:paraId="19B38E0C"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12.3%</w:t>
            </w:r>
          </w:p>
        </w:tc>
        <w:tc>
          <w:tcPr>
            <w:tcW w:w="1283" w:type="dxa"/>
            <w:tcBorders>
              <w:top w:val="nil"/>
              <w:left w:val="nil"/>
              <w:bottom w:val="single" w:sz="8" w:space="0" w:color="auto"/>
              <w:right w:val="single" w:sz="8" w:space="0" w:color="auto"/>
            </w:tcBorders>
            <w:shd w:val="clear" w:color="auto" w:fill="auto"/>
            <w:vAlign w:val="center"/>
          </w:tcPr>
          <w:p w14:paraId="185D1982"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120</w:t>
            </w:r>
          </w:p>
        </w:tc>
        <w:tc>
          <w:tcPr>
            <w:tcW w:w="1283" w:type="dxa"/>
            <w:tcBorders>
              <w:top w:val="nil"/>
              <w:left w:val="nil"/>
              <w:bottom w:val="single" w:sz="8" w:space="0" w:color="auto"/>
              <w:right w:val="single" w:sz="8" w:space="0" w:color="auto"/>
            </w:tcBorders>
            <w:shd w:val="clear" w:color="auto" w:fill="auto"/>
            <w:vAlign w:val="center"/>
          </w:tcPr>
          <w:p w14:paraId="46A85E14"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15.42%</w:t>
            </w:r>
          </w:p>
        </w:tc>
        <w:tc>
          <w:tcPr>
            <w:tcW w:w="1283" w:type="dxa"/>
            <w:tcBorders>
              <w:top w:val="nil"/>
              <w:left w:val="nil"/>
              <w:bottom w:val="single" w:sz="8" w:space="0" w:color="auto"/>
              <w:right w:val="single" w:sz="8" w:space="0" w:color="auto"/>
            </w:tcBorders>
            <w:shd w:val="clear" w:color="auto" w:fill="auto"/>
            <w:vAlign w:val="center"/>
          </w:tcPr>
          <w:p w14:paraId="442DF48A"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168</w:t>
            </w:r>
          </w:p>
        </w:tc>
        <w:tc>
          <w:tcPr>
            <w:tcW w:w="1284" w:type="dxa"/>
            <w:tcBorders>
              <w:top w:val="nil"/>
              <w:left w:val="nil"/>
              <w:bottom w:val="single" w:sz="8" w:space="0" w:color="auto"/>
              <w:right w:val="single" w:sz="8" w:space="0" w:color="auto"/>
            </w:tcBorders>
            <w:shd w:val="clear" w:color="auto" w:fill="auto"/>
            <w:vAlign w:val="center"/>
          </w:tcPr>
          <w:p w14:paraId="320B32B7"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14.4%</w:t>
            </w:r>
          </w:p>
        </w:tc>
      </w:tr>
      <w:tr w:rsidR="001220E7" w:rsidRPr="00E13F47" w14:paraId="257C4834" w14:textId="77777777" w:rsidTr="00724B30">
        <w:tc>
          <w:tcPr>
            <w:tcW w:w="2515" w:type="dxa"/>
          </w:tcPr>
          <w:p w14:paraId="50992289" w14:textId="77777777" w:rsidR="001220E7" w:rsidRPr="00E13F47" w:rsidRDefault="001220E7" w:rsidP="00724B30">
            <w:pPr>
              <w:rPr>
                <w:rFonts w:ascii="Arial" w:eastAsia="Times New Roman" w:hAnsi="Arial" w:cs="Arial"/>
                <w:bCs/>
              </w:rPr>
            </w:pPr>
            <w:r w:rsidRPr="00E13F47">
              <w:rPr>
                <w:rFonts w:ascii="Arial" w:eastAsia="Times New Roman" w:hAnsi="Arial" w:cs="Arial"/>
                <w:bCs/>
              </w:rPr>
              <w:t>Black or African American</w:t>
            </w:r>
          </w:p>
        </w:tc>
        <w:tc>
          <w:tcPr>
            <w:tcW w:w="1283" w:type="dxa"/>
            <w:tcBorders>
              <w:top w:val="nil"/>
              <w:left w:val="nil"/>
              <w:bottom w:val="single" w:sz="8" w:space="0" w:color="auto"/>
              <w:right w:val="single" w:sz="8" w:space="0" w:color="auto"/>
            </w:tcBorders>
            <w:shd w:val="clear" w:color="auto" w:fill="auto"/>
            <w:vAlign w:val="center"/>
          </w:tcPr>
          <w:p w14:paraId="1DCED1CA"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152</w:t>
            </w:r>
          </w:p>
        </w:tc>
        <w:tc>
          <w:tcPr>
            <w:tcW w:w="1283" w:type="dxa"/>
            <w:tcBorders>
              <w:top w:val="nil"/>
              <w:left w:val="nil"/>
              <w:bottom w:val="single" w:sz="8" w:space="0" w:color="auto"/>
              <w:right w:val="single" w:sz="8" w:space="0" w:color="auto"/>
            </w:tcBorders>
            <w:shd w:val="clear" w:color="auto" w:fill="auto"/>
            <w:vAlign w:val="center"/>
          </w:tcPr>
          <w:p w14:paraId="2252FB11"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38.9%</w:t>
            </w:r>
          </w:p>
        </w:tc>
        <w:tc>
          <w:tcPr>
            <w:tcW w:w="1283" w:type="dxa"/>
            <w:tcBorders>
              <w:top w:val="nil"/>
              <w:left w:val="nil"/>
              <w:bottom w:val="single" w:sz="8" w:space="0" w:color="auto"/>
              <w:right w:val="single" w:sz="8" w:space="0" w:color="auto"/>
            </w:tcBorders>
            <w:shd w:val="clear" w:color="auto" w:fill="auto"/>
            <w:vAlign w:val="center"/>
          </w:tcPr>
          <w:p w14:paraId="647675FE"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136</w:t>
            </w:r>
          </w:p>
        </w:tc>
        <w:tc>
          <w:tcPr>
            <w:tcW w:w="1283" w:type="dxa"/>
            <w:tcBorders>
              <w:top w:val="nil"/>
              <w:left w:val="nil"/>
              <w:bottom w:val="single" w:sz="8" w:space="0" w:color="auto"/>
              <w:right w:val="single" w:sz="8" w:space="0" w:color="auto"/>
            </w:tcBorders>
            <w:shd w:val="clear" w:color="auto" w:fill="auto"/>
            <w:vAlign w:val="center"/>
          </w:tcPr>
          <w:p w14:paraId="2F9981AB"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17.48%</w:t>
            </w:r>
          </w:p>
        </w:tc>
        <w:tc>
          <w:tcPr>
            <w:tcW w:w="1283" w:type="dxa"/>
            <w:tcBorders>
              <w:top w:val="nil"/>
              <w:left w:val="nil"/>
              <w:bottom w:val="single" w:sz="8" w:space="0" w:color="auto"/>
              <w:right w:val="single" w:sz="8" w:space="0" w:color="auto"/>
            </w:tcBorders>
            <w:shd w:val="clear" w:color="auto" w:fill="auto"/>
            <w:vAlign w:val="center"/>
          </w:tcPr>
          <w:p w14:paraId="2F104248"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288</w:t>
            </w:r>
          </w:p>
        </w:tc>
        <w:tc>
          <w:tcPr>
            <w:tcW w:w="1284" w:type="dxa"/>
            <w:tcBorders>
              <w:top w:val="nil"/>
              <w:left w:val="nil"/>
              <w:bottom w:val="single" w:sz="8" w:space="0" w:color="auto"/>
              <w:right w:val="single" w:sz="8" w:space="0" w:color="auto"/>
            </w:tcBorders>
            <w:shd w:val="clear" w:color="auto" w:fill="auto"/>
            <w:vAlign w:val="center"/>
          </w:tcPr>
          <w:p w14:paraId="1DCB90BC"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24.6%</w:t>
            </w:r>
          </w:p>
        </w:tc>
      </w:tr>
      <w:tr w:rsidR="001220E7" w:rsidRPr="00E13F47" w14:paraId="68E2D23E" w14:textId="77777777" w:rsidTr="00724B30">
        <w:tc>
          <w:tcPr>
            <w:tcW w:w="2515" w:type="dxa"/>
          </w:tcPr>
          <w:p w14:paraId="2BEAA671" w14:textId="77777777" w:rsidR="001220E7" w:rsidRPr="00E13F47" w:rsidRDefault="001220E7" w:rsidP="00724B30">
            <w:pPr>
              <w:rPr>
                <w:rFonts w:ascii="Arial" w:eastAsia="Times New Roman" w:hAnsi="Arial" w:cs="Arial"/>
                <w:bCs/>
              </w:rPr>
            </w:pPr>
            <w:r w:rsidRPr="00E13F47">
              <w:rPr>
                <w:rFonts w:ascii="Arial" w:eastAsia="Times New Roman" w:hAnsi="Arial" w:cs="Arial"/>
                <w:bCs/>
              </w:rPr>
              <w:t>Filipino</w:t>
            </w:r>
          </w:p>
        </w:tc>
        <w:tc>
          <w:tcPr>
            <w:tcW w:w="1283" w:type="dxa"/>
            <w:tcBorders>
              <w:top w:val="nil"/>
              <w:left w:val="nil"/>
              <w:bottom w:val="single" w:sz="8" w:space="0" w:color="auto"/>
              <w:right w:val="single" w:sz="8" w:space="0" w:color="auto"/>
            </w:tcBorders>
            <w:shd w:val="clear" w:color="auto" w:fill="auto"/>
            <w:vAlign w:val="center"/>
          </w:tcPr>
          <w:p w14:paraId="640015B0"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w:t>
            </w:r>
          </w:p>
        </w:tc>
        <w:tc>
          <w:tcPr>
            <w:tcW w:w="1283" w:type="dxa"/>
            <w:tcBorders>
              <w:top w:val="nil"/>
              <w:left w:val="nil"/>
              <w:bottom w:val="single" w:sz="8" w:space="0" w:color="auto"/>
              <w:right w:val="single" w:sz="8" w:space="0" w:color="auto"/>
            </w:tcBorders>
            <w:shd w:val="clear" w:color="auto" w:fill="auto"/>
            <w:vAlign w:val="center"/>
          </w:tcPr>
          <w:p w14:paraId="724CFC91"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0.5%</w:t>
            </w:r>
          </w:p>
        </w:tc>
        <w:tc>
          <w:tcPr>
            <w:tcW w:w="1283" w:type="dxa"/>
            <w:tcBorders>
              <w:top w:val="nil"/>
              <w:left w:val="nil"/>
              <w:bottom w:val="single" w:sz="8" w:space="0" w:color="auto"/>
              <w:right w:val="single" w:sz="8" w:space="0" w:color="auto"/>
            </w:tcBorders>
            <w:shd w:val="clear" w:color="auto" w:fill="auto"/>
            <w:vAlign w:val="center"/>
          </w:tcPr>
          <w:p w14:paraId="0E823BA4"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28</w:t>
            </w:r>
          </w:p>
        </w:tc>
        <w:tc>
          <w:tcPr>
            <w:tcW w:w="1283" w:type="dxa"/>
            <w:tcBorders>
              <w:top w:val="nil"/>
              <w:left w:val="nil"/>
              <w:bottom w:val="single" w:sz="8" w:space="0" w:color="auto"/>
              <w:right w:val="single" w:sz="8" w:space="0" w:color="auto"/>
            </w:tcBorders>
            <w:shd w:val="clear" w:color="auto" w:fill="auto"/>
            <w:vAlign w:val="center"/>
          </w:tcPr>
          <w:p w14:paraId="3536CAE3"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3.60%</w:t>
            </w:r>
          </w:p>
        </w:tc>
        <w:tc>
          <w:tcPr>
            <w:tcW w:w="1283" w:type="dxa"/>
            <w:tcBorders>
              <w:top w:val="nil"/>
              <w:left w:val="nil"/>
              <w:bottom w:val="single" w:sz="8" w:space="0" w:color="auto"/>
              <w:right w:val="single" w:sz="8" w:space="0" w:color="auto"/>
            </w:tcBorders>
            <w:shd w:val="clear" w:color="auto" w:fill="auto"/>
            <w:vAlign w:val="center"/>
          </w:tcPr>
          <w:p w14:paraId="121224CF"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30</w:t>
            </w:r>
          </w:p>
        </w:tc>
        <w:tc>
          <w:tcPr>
            <w:tcW w:w="1284" w:type="dxa"/>
            <w:tcBorders>
              <w:top w:val="nil"/>
              <w:left w:val="nil"/>
              <w:bottom w:val="single" w:sz="8" w:space="0" w:color="auto"/>
              <w:right w:val="single" w:sz="8" w:space="0" w:color="auto"/>
            </w:tcBorders>
            <w:shd w:val="clear" w:color="auto" w:fill="auto"/>
            <w:vAlign w:val="center"/>
          </w:tcPr>
          <w:p w14:paraId="5D1AD178"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2.6%</w:t>
            </w:r>
          </w:p>
        </w:tc>
      </w:tr>
      <w:tr w:rsidR="001220E7" w:rsidRPr="00E13F47" w14:paraId="56DD2713" w14:textId="77777777" w:rsidTr="00724B30">
        <w:tc>
          <w:tcPr>
            <w:tcW w:w="2515" w:type="dxa"/>
          </w:tcPr>
          <w:p w14:paraId="60A872B5" w14:textId="77777777" w:rsidR="001220E7" w:rsidRPr="00E13F47" w:rsidRDefault="001220E7" w:rsidP="00724B30">
            <w:pPr>
              <w:rPr>
                <w:rFonts w:ascii="Arial" w:eastAsia="Times New Roman" w:hAnsi="Arial" w:cs="Arial"/>
                <w:bCs/>
              </w:rPr>
            </w:pPr>
            <w:r w:rsidRPr="00E13F47">
              <w:rPr>
                <w:rFonts w:ascii="Arial" w:eastAsia="Times New Roman" w:hAnsi="Arial" w:cs="Arial"/>
                <w:bCs/>
              </w:rPr>
              <w:t>Hispanic or Latino</w:t>
            </w:r>
          </w:p>
        </w:tc>
        <w:tc>
          <w:tcPr>
            <w:tcW w:w="1283" w:type="dxa"/>
            <w:tcBorders>
              <w:top w:val="nil"/>
              <w:left w:val="nil"/>
              <w:bottom w:val="single" w:sz="8" w:space="0" w:color="auto"/>
              <w:right w:val="single" w:sz="8" w:space="0" w:color="auto"/>
            </w:tcBorders>
            <w:shd w:val="clear" w:color="auto" w:fill="auto"/>
            <w:vAlign w:val="center"/>
          </w:tcPr>
          <w:p w14:paraId="39456FF5"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86</w:t>
            </w:r>
          </w:p>
        </w:tc>
        <w:tc>
          <w:tcPr>
            <w:tcW w:w="1283" w:type="dxa"/>
            <w:tcBorders>
              <w:top w:val="nil"/>
              <w:left w:val="nil"/>
              <w:bottom w:val="single" w:sz="8" w:space="0" w:color="auto"/>
              <w:right w:val="single" w:sz="8" w:space="0" w:color="auto"/>
            </w:tcBorders>
            <w:shd w:val="clear" w:color="auto" w:fill="auto"/>
            <w:vAlign w:val="center"/>
          </w:tcPr>
          <w:p w14:paraId="37E4DA8D"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22.0%</w:t>
            </w:r>
          </w:p>
        </w:tc>
        <w:tc>
          <w:tcPr>
            <w:tcW w:w="1283" w:type="dxa"/>
            <w:tcBorders>
              <w:top w:val="nil"/>
              <w:left w:val="nil"/>
              <w:bottom w:val="single" w:sz="8" w:space="0" w:color="auto"/>
              <w:right w:val="single" w:sz="8" w:space="0" w:color="auto"/>
            </w:tcBorders>
            <w:shd w:val="clear" w:color="auto" w:fill="auto"/>
            <w:vAlign w:val="center"/>
          </w:tcPr>
          <w:p w14:paraId="61A1372D"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202</w:t>
            </w:r>
          </w:p>
        </w:tc>
        <w:tc>
          <w:tcPr>
            <w:tcW w:w="1283" w:type="dxa"/>
            <w:tcBorders>
              <w:top w:val="nil"/>
              <w:left w:val="nil"/>
              <w:bottom w:val="single" w:sz="8" w:space="0" w:color="auto"/>
              <w:right w:val="single" w:sz="8" w:space="0" w:color="auto"/>
            </w:tcBorders>
            <w:shd w:val="clear" w:color="auto" w:fill="auto"/>
            <w:vAlign w:val="center"/>
          </w:tcPr>
          <w:p w14:paraId="00CE9F08"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25.96%</w:t>
            </w:r>
          </w:p>
        </w:tc>
        <w:tc>
          <w:tcPr>
            <w:tcW w:w="1283" w:type="dxa"/>
            <w:tcBorders>
              <w:top w:val="nil"/>
              <w:left w:val="nil"/>
              <w:bottom w:val="single" w:sz="8" w:space="0" w:color="auto"/>
              <w:right w:val="single" w:sz="8" w:space="0" w:color="auto"/>
            </w:tcBorders>
            <w:shd w:val="clear" w:color="auto" w:fill="auto"/>
            <w:vAlign w:val="center"/>
          </w:tcPr>
          <w:p w14:paraId="11B795AE"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288</w:t>
            </w:r>
          </w:p>
        </w:tc>
        <w:tc>
          <w:tcPr>
            <w:tcW w:w="1284" w:type="dxa"/>
            <w:tcBorders>
              <w:top w:val="nil"/>
              <w:left w:val="nil"/>
              <w:bottom w:val="single" w:sz="8" w:space="0" w:color="auto"/>
              <w:right w:val="single" w:sz="8" w:space="0" w:color="auto"/>
            </w:tcBorders>
            <w:shd w:val="clear" w:color="auto" w:fill="auto"/>
            <w:vAlign w:val="center"/>
          </w:tcPr>
          <w:p w14:paraId="4AF5E849"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24.6%</w:t>
            </w:r>
          </w:p>
        </w:tc>
      </w:tr>
      <w:tr w:rsidR="001220E7" w:rsidRPr="00E13F47" w14:paraId="3E07F9B8" w14:textId="77777777" w:rsidTr="00724B30">
        <w:tc>
          <w:tcPr>
            <w:tcW w:w="2515" w:type="dxa"/>
          </w:tcPr>
          <w:p w14:paraId="7D30F14B" w14:textId="77777777" w:rsidR="001220E7" w:rsidRPr="00E13F47" w:rsidRDefault="001220E7" w:rsidP="00724B30">
            <w:pPr>
              <w:rPr>
                <w:rFonts w:ascii="Arial" w:eastAsia="Times New Roman" w:hAnsi="Arial" w:cs="Arial"/>
                <w:bCs/>
              </w:rPr>
            </w:pPr>
            <w:r w:rsidRPr="00E13F47">
              <w:rPr>
                <w:rFonts w:ascii="Arial" w:eastAsia="Times New Roman" w:hAnsi="Arial" w:cs="Arial"/>
                <w:bCs/>
              </w:rPr>
              <w:t>Native American</w:t>
            </w:r>
          </w:p>
        </w:tc>
        <w:tc>
          <w:tcPr>
            <w:tcW w:w="1283" w:type="dxa"/>
            <w:tcBorders>
              <w:top w:val="nil"/>
              <w:left w:val="nil"/>
              <w:bottom w:val="single" w:sz="8" w:space="0" w:color="auto"/>
              <w:right w:val="single" w:sz="8" w:space="0" w:color="auto"/>
            </w:tcBorders>
            <w:shd w:val="clear" w:color="auto" w:fill="auto"/>
            <w:vAlign w:val="center"/>
          </w:tcPr>
          <w:p w14:paraId="59A5D1F1"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3</w:t>
            </w:r>
          </w:p>
        </w:tc>
        <w:tc>
          <w:tcPr>
            <w:tcW w:w="1283" w:type="dxa"/>
            <w:tcBorders>
              <w:top w:val="nil"/>
              <w:left w:val="nil"/>
              <w:bottom w:val="single" w:sz="8" w:space="0" w:color="auto"/>
              <w:right w:val="single" w:sz="8" w:space="0" w:color="auto"/>
            </w:tcBorders>
            <w:shd w:val="clear" w:color="auto" w:fill="auto"/>
            <w:vAlign w:val="center"/>
          </w:tcPr>
          <w:p w14:paraId="4973E297"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0.8%</w:t>
            </w:r>
          </w:p>
        </w:tc>
        <w:tc>
          <w:tcPr>
            <w:tcW w:w="1283" w:type="dxa"/>
            <w:tcBorders>
              <w:top w:val="nil"/>
              <w:left w:val="nil"/>
              <w:bottom w:val="single" w:sz="8" w:space="0" w:color="auto"/>
              <w:right w:val="single" w:sz="8" w:space="0" w:color="auto"/>
            </w:tcBorders>
            <w:shd w:val="clear" w:color="auto" w:fill="auto"/>
            <w:vAlign w:val="center"/>
          </w:tcPr>
          <w:p w14:paraId="7DC8A51A"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w:t>
            </w:r>
          </w:p>
        </w:tc>
        <w:tc>
          <w:tcPr>
            <w:tcW w:w="1283" w:type="dxa"/>
            <w:tcBorders>
              <w:top w:val="nil"/>
              <w:left w:val="nil"/>
              <w:bottom w:val="single" w:sz="8" w:space="0" w:color="auto"/>
              <w:right w:val="single" w:sz="8" w:space="0" w:color="auto"/>
            </w:tcBorders>
            <w:shd w:val="clear" w:color="auto" w:fill="auto"/>
            <w:vAlign w:val="center"/>
          </w:tcPr>
          <w:p w14:paraId="1572C604"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0.26%</w:t>
            </w:r>
          </w:p>
        </w:tc>
        <w:tc>
          <w:tcPr>
            <w:tcW w:w="1283" w:type="dxa"/>
            <w:tcBorders>
              <w:top w:val="nil"/>
              <w:left w:val="nil"/>
              <w:bottom w:val="single" w:sz="8" w:space="0" w:color="auto"/>
              <w:right w:val="single" w:sz="8" w:space="0" w:color="auto"/>
            </w:tcBorders>
            <w:shd w:val="clear" w:color="auto" w:fill="auto"/>
            <w:vAlign w:val="center"/>
          </w:tcPr>
          <w:p w14:paraId="6F234CC2"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5</w:t>
            </w:r>
          </w:p>
        </w:tc>
        <w:tc>
          <w:tcPr>
            <w:tcW w:w="1284" w:type="dxa"/>
            <w:tcBorders>
              <w:top w:val="nil"/>
              <w:left w:val="nil"/>
              <w:bottom w:val="single" w:sz="8" w:space="0" w:color="auto"/>
              <w:right w:val="single" w:sz="8" w:space="0" w:color="auto"/>
            </w:tcBorders>
            <w:shd w:val="clear" w:color="auto" w:fill="auto"/>
            <w:vAlign w:val="center"/>
          </w:tcPr>
          <w:p w14:paraId="3844AF5B"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0.4%</w:t>
            </w:r>
          </w:p>
        </w:tc>
      </w:tr>
      <w:tr w:rsidR="001220E7" w:rsidRPr="00E13F47" w14:paraId="775F701E" w14:textId="77777777" w:rsidTr="00724B30">
        <w:tc>
          <w:tcPr>
            <w:tcW w:w="2515" w:type="dxa"/>
          </w:tcPr>
          <w:p w14:paraId="5303E282" w14:textId="77777777" w:rsidR="001220E7" w:rsidRPr="00E13F47" w:rsidRDefault="001220E7" w:rsidP="00724B30">
            <w:pPr>
              <w:rPr>
                <w:rFonts w:ascii="Arial" w:eastAsia="Times New Roman" w:hAnsi="Arial" w:cs="Arial"/>
                <w:bCs/>
              </w:rPr>
            </w:pPr>
            <w:r w:rsidRPr="00E13F47">
              <w:rPr>
                <w:rFonts w:ascii="Arial" w:eastAsia="Times New Roman" w:hAnsi="Arial" w:cs="Arial"/>
                <w:bCs/>
              </w:rPr>
              <w:t>Undeclared/Other</w:t>
            </w:r>
          </w:p>
        </w:tc>
        <w:tc>
          <w:tcPr>
            <w:tcW w:w="1283" w:type="dxa"/>
            <w:tcBorders>
              <w:top w:val="nil"/>
              <w:left w:val="nil"/>
              <w:bottom w:val="single" w:sz="8" w:space="0" w:color="auto"/>
              <w:right w:val="single" w:sz="8" w:space="0" w:color="auto"/>
            </w:tcBorders>
            <w:shd w:val="clear" w:color="auto" w:fill="auto"/>
            <w:vAlign w:val="center"/>
          </w:tcPr>
          <w:p w14:paraId="571566D3"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6</w:t>
            </w:r>
          </w:p>
        </w:tc>
        <w:tc>
          <w:tcPr>
            <w:tcW w:w="1283" w:type="dxa"/>
            <w:tcBorders>
              <w:top w:val="nil"/>
              <w:left w:val="nil"/>
              <w:bottom w:val="single" w:sz="8" w:space="0" w:color="auto"/>
              <w:right w:val="single" w:sz="8" w:space="0" w:color="auto"/>
            </w:tcBorders>
            <w:shd w:val="clear" w:color="auto" w:fill="auto"/>
            <w:vAlign w:val="center"/>
          </w:tcPr>
          <w:p w14:paraId="6B167F12"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1.5%</w:t>
            </w:r>
          </w:p>
        </w:tc>
        <w:tc>
          <w:tcPr>
            <w:tcW w:w="1283" w:type="dxa"/>
            <w:tcBorders>
              <w:top w:val="nil"/>
              <w:left w:val="nil"/>
              <w:bottom w:val="single" w:sz="8" w:space="0" w:color="auto"/>
              <w:right w:val="single" w:sz="8" w:space="0" w:color="auto"/>
            </w:tcBorders>
            <w:shd w:val="clear" w:color="auto" w:fill="auto"/>
            <w:vAlign w:val="center"/>
          </w:tcPr>
          <w:p w14:paraId="5915CE3F"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22</w:t>
            </w:r>
          </w:p>
        </w:tc>
        <w:tc>
          <w:tcPr>
            <w:tcW w:w="1283" w:type="dxa"/>
            <w:tcBorders>
              <w:top w:val="nil"/>
              <w:left w:val="nil"/>
              <w:bottom w:val="single" w:sz="8" w:space="0" w:color="auto"/>
              <w:right w:val="single" w:sz="8" w:space="0" w:color="auto"/>
            </w:tcBorders>
            <w:shd w:val="clear" w:color="auto" w:fill="auto"/>
            <w:vAlign w:val="center"/>
          </w:tcPr>
          <w:p w14:paraId="349638B4"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2.83%</w:t>
            </w:r>
          </w:p>
        </w:tc>
        <w:tc>
          <w:tcPr>
            <w:tcW w:w="1283" w:type="dxa"/>
            <w:tcBorders>
              <w:top w:val="nil"/>
              <w:left w:val="nil"/>
              <w:bottom w:val="single" w:sz="8" w:space="0" w:color="auto"/>
              <w:right w:val="single" w:sz="8" w:space="0" w:color="auto"/>
            </w:tcBorders>
            <w:shd w:val="clear" w:color="auto" w:fill="auto"/>
            <w:vAlign w:val="center"/>
          </w:tcPr>
          <w:p w14:paraId="020A27DD"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28</w:t>
            </w:r>
          </w:p>
        </w:tc>
        <w:tc>
          <w:tcPr>
            <w:tcW w:w="1284" w:type="dxa"/>
            <w:tcBorders>
              <w:top w:val="nil"/>
              <w:left w:val="nil"/>
              <w:bottom w:val="single" w:sz="8" w:space="0" w:color="auto"/>
              <w:right w:val="single" w:sz="8" w:space="0" w:color="auto"/>
            </w:tcBorders>
            <w:shd w:val="clear" w:color="auto" w:fill="auto"/>
            <w:vAlign w:val="center"/>
          </w:tcPr>
          <w:p w14:paraId="5AA7EDEC"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2.4%</w:t>
            </w:r>
          </w:p>
        </w:tc>
      </w:tr>
      <w:tr w:rsidR="001220E7" w:rsidRPr="00E13F47" w14:paraId="47CF4FD4" w14:textId="77777777" w:rsidTr="00724B30">
        <w:tc>
          <w:tcPr>
            <w:tcW w:w="2515" w:type="dxa"/>
          </w:tcPr>
          <w:p w14:paraId="235D29A2" w14:textId="77777777" w:rsidR="001220E7" w:rsidRPr="00E13F47" w:rsidRDefault="001220E7" w:rsidP="00724B30">
            <w:pPr>
              <w:rPr>
                <w:rFonts w:ascii="Arial" w:eastAsia="Times New Roman" w:hAnsi="Arial" w:cs="Arial"/>
                <w:bCs/>
              </w:rPr>
            </w:pPr>
            <w:r w:rsidRPr="00E13F47">
              <w:rPr>
                <w:rFonts w:ascii="Arial" w:eastAsia="Times New Roman" w:hAnsi="Arial" w:cs="Arial"/>
                <w:bCs/>
              </w:rPr>
              <w:t>White or Caucasian</w:t>
            </w:r>
          </w:p>
        </w:tc>
        <w:tc>
          <w:tcPr>
            <w:tcW w:w="1283" w:type="dxa"/>
            <w:tcBorders>
              <w:top w:val="nil"/>
              <w:left w:val="nil"/>
              <w:bottom w:val="single" w:sz="8" w:space="0" w:color="auto"/>
              <w:right w:val="single" w:sz="8" w:space="0" w:color="auto"/>
            </w:tcBorders>
            <w:shd w:val="clear" w:color="auto" w:fill="auto"/>
            <w:vAlign w:val="center"/>
          </w:tcPr>
          <w:p w14:paraId="4812F3B5"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94</w:t>
            </w:r>
          </w:p>
        </w:tc>
        <w:tc>
          <w:tcPr>
            <w:tcW w:w="1283" w:type="dxa"/>
            <w:tcBorders>
              <w:top w:val="nil"/>
              <w:left w:val="nil"/>
              <w:bottom w:val="single" w:sz="8" w:space="0" w:color="auto"/>
              <w:right w:val="single" w:sz="8" w:space="0" w:color="auto"/>
            </w:tcBorders>
            <w:shd w:val="clear" w:color="auto" w:fill="auto"/>
            <w:vAlign w:val="center"/>
          </w:tcPr>
          <w:p w14:paraId="1A1C4803"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24.0%</w:t>
            </w:r>
          </w:p>
        </w:tc>
        <w:tc>
          <w:tcPr>
            <w:tcW w:w="1283" w:type="dxa"/>
            <w:tcBorders>
              <w:top w:val="nil"/>
              <w:left w:val="nil"/>
              <w:bottom w:val="single" w:sz="8" w:space="0" w:color="auto"/>
              <w:right w:val="single" w:sz="8" w:space="0" w:color="auto"/>
            </w:tcBorders>
            <w:shd w:val="clear" w:color="auto" w:fill="auto"/>
            <w:vAlign w:val="center"/>
          </w:tcPr>
          <w:p w14:paraId="4A036C16"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268</w:t>
            </w:r>
          </w:p>
        </w:tc>
        <w:tc>
          <w:tcPr>
            <w:tcW w:w="1283" w:type="dxa"/>
            <w:tcBorders>
              <w:top w:val="nil"/>
              <w:left w:val="nil"/>
              <w:bottom w:val="single" w:sz="8" w:space="0" w:color="auto"/>
              <w:right w:val="single" w:sz="8" w:space="0" w:color="auto"/>
            </w:tcBorders>
            <w:shd w:val="clear" w:color="auto" w:fill="auto"/>
            <w:vAlign w:val="center"/>
          </w:tcPr>
          <w:p w14:paraId="00566F66"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34.45%</w:t>
            </w:r>
          </w:p>
        </w:tc>
        <w:tc>
          <w:tcPr>
            <w:tcW w:w="1283" w:type="dxa"/>
            <w:tcBorders>
              <w:top w:val="nil"/>
              <w:left w:val="nil"/>
              <w:bottom w:val="single" w:sz="8" w:space="0" w:color="auto"/>
              <w:right w:val="single" w:sz="8" w:space="0" w:color="auto"/>
            </w:tcBorders>
            <w:shd w:val="clear" w:color="auto" w:fill="auto"/>
            <w:vAlign w:val="center"/>
          </w:tcPr>
          <w:p w14:paraId="0EFC42A5"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362</w:t>
            </w:r>
          </w:p>
        </w:tc>
        <w:tc>
          <w:tcPr>
            <w:tcW w:w="1284" w:type="dxa"/>
            <w:tcBorders>
              <w:top w:val="nil"/>
              <w:left w:val="nil"/>
              <w:bottom w:val="single" w:sz="8" w:space="0" w:color="auto"/>
              <w:right w:val="single" w:sz="8" w:space="0" w:color="auto"/>
            </w:tcBorders>
            <w:shd w:val="clear" w:color="auto" w:fill="auto"/>
            <w:vAlign w:val="center"/>
          </w:tcPr>
          <w:p w14:paraId="7E957C52"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31.0%</w:t>
            </w:r>
          </w:p>
        </w:tc>
      </w:tr>
      <w:tr w:rsidR="001220E7" w:rsidRPr="00E13F47" w14:paraId="066AD124" w14:textId="77777777" w:rsidTr="00724B30">
        <w:tc>
          <w:tcPr>
            <w:tcW w:w="2515" w:type="dxa"/>
          </w:tcPr>
          <w:p w14:paraId="77365599" w14:textId="77777777" w:rsidR="001220E7" w:rsidRPr="00E13F47" w:rsidRDefault="001220E7" w:rsidP="00724B30">
            <w:pPr>
              <w:rPr>
                <w:rFonts w:ascii="Arial" w:eastAsia="Times New Roman" w:hAnsi="Arial" w:cs="Arial"/>
                <w:bCs/>
              </w:rPr>
            </w:pPr>
            <w:r w:rsidRPr="00E13F47">
              <w:rPr>
                <w:rFonts w:ascii="Arial" w:eastAsia="Times New Roman" w:hAnsi="Arial" w:cs="Arial"/>
                <w:bCs/>
              </w:rPr>
              <w:t>TOTAL</w:t>
            </w:r>
          </w:p>
        </w:tc>
        <w:tc>
          <w:tcPr>
            <w:tcW w:w="1283" w:type="dxa"/>
            <w:tcBorders>
              <w:top w:val="nil"/>
              <w:left w:val="nil"/>
              <w:bottom w:val="single" w:sz="8" w:space="0" w:color="auto"/>
              <w:right w:val="single" w:sz="8" w:space="0" w:color="auto"/>
            </w:tcBorders>
            <w:shd w:val="clear" w:color="auto" w:fill="auto"/>
            <w:vAlign w:val="center"/>
          </w:tcPr>
          <w:p w14:paraId="7A7EC9C3"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391</w:t>
            </w:r>
          </w:p>
        </w:tc>
        <w:tc>
          <w:tcPr>
            <w:tcW w:w="1283" w:type="dxa"/>
            <w:tcBorders>
              <w:top w:val="nil"/>
              <w:left w:val="nil"/>
              <w:bottom w:val="single" w:sz="8" w:space="0" w:color="auto"/>
              <w:right w:val="single" w:sz="8" w:space="0" w:color="auto"/>
            </w:tcBorders>
            <w:shd w:val="clear" w:color="auto" w:fill="auto"/>
            <w:vAlign w:val="center"/>
          </w:tcPr>
          <w:p w14:paraId="6D0F2F5B"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100%</w:t>
            </w:r>
          </w:p>
        </w:tc>
        <w:tc>
          <w:tcPr>
            <w:tcW w:w="1283" w:type="dxa"/>
            <w:tcBorders>
              <w:top w:val="nil"/>
              <w:left w:val="nil"/>
              <w:bottom w:val="single" w:sz="8" w:space="0" w:color="auto"/>
              <w:right w:val="single" w:sz="8" w:space="0" w:color="auto"/>
            </w:tcBorders>
            <w:shd w:val="clear" w:color="auto" w:fill="auto"/>
            <w:vAlign w:val="center"/>
          </w:tcPr>
          <w:p w14:paraId="7A989716"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778</w:t>
            </w:r>
          </w:p>
        </w:tc>
        <w:tc>
          <w:tcPr>
            <w:tcW w:w="1283" w:type="dxa"/>
            <w:tcBorders>
              <w:top w:val="nil"/>
              <w:left w:val="nil"/>
              <w:bottom w:val="single" w:sz="8" w:space="0" w:color="auto"/>
              <w:right w:val="single" w:sz="8" w:space="0" w:color="auto"/>
            </w:tcBorders>
            <w:shd w:val="clear" w:color="auto" w:fill="auto"/>
            <w:vAlign w:val="center"/>
          </w:tcPr>
          <w:p w14:paraId="4AE92FE3"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100%</w:t>
            </w:r>
          </w:p>
        </w:tc>
        <w:tc>
          <w:tcPr>
            <w:tcW w:w="1283" w:type="dxa"/>
            <w:tcBorders>
              <w:top w:val="nil"/>
              <w:left w:val="nil"/>
              <w:bottom w:val="single" w:sz="8" w:space="0" w:color="auto"/>
              <w:right w:val="single" w:sz="8" w:space="0" w:color="auto"/>
            </w:tcBorders>
            <w:shd w:val="clear" w:color="auto" w:fill="auto"/>
            <w:vAlign w:val="center"/>
          </w:tcPr>
          <w:p w14:paraId="6EDEEBE8"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1169</w:t>
            </w:r>
          </w:p>
        </w:tc>
        <w:tc>
          <w:tcPr>
            <w:tcW w:w="1284" w:type="dxa"/>
            <w:tcBorders>
              <w:top w:val="nil"/>
              <w:left w:val="nil"/>
              <w:bottom w:val="single" w:sz="8" w:space="0" w:color="auto"/>
              <w:right w:val="single" w:sz="8" w:space="0" w:color="auto"/>
            </w:tcBorders>
            <w:shd w:val="clear" w:color="auto" w:fill="auto"/>
            <w:vAlign w:val="center"/>
          </w:tcPr>
          <w:p w14:paraId="790D1851" w14:textId="77777777" w:rsidR="001220E7" w:rsidRPr="00E13F47" w:rsidRDefault="001220E7" w:rsidP="00724B30">
            <w:pPr>
              <w:jc w:val="center"/>
              <w:rPr>
                <w:rFonts w:ascii="Arial" w:eastAsia="Times New Roman" w:hAnsi="Arial" w:cs="Arial"/>
                <w:bCs/>
              </w:rPr>
            </w:pPr>
            <w:r w:rsidRPr="00E13F47">
              <w:rPr>
                <w:rFonts w:ascii="Arial" w:hAnsi="Arial" w:cs="Arial"/>
                <w:color w:val="000000"/>
              </w:rPr>
              <w:t>100.0%</w:t>
            </w:r>
          </w:p>
        </w:tc>
      </w:tr>
    </w:tbl>
    <w:p w14:paraId="67DCA865" w14:textId="77777777" w:rsidR="001220E7" w:rsidRDefault="001220E7" w:rsidP="001220E7">
      <w:pPr>
        <w:jc w:val="both"/>
        <w:rPr>
          <w:rFonts w:ascii="Arial" w:eastAsia="Times New Roman" w:hAnsi="Arial" w:cs="Arial"/>
          <w:b/>
        </w:rPr>
      </w:pPr>
    </w:p>
    <w:p w14:paraId="2E78F2AA" w14:textId="216CD964" w:rsidR="00447223" w:rsidRPr="00E13F47" w:rsidRDefault="00447223" w:rsidP="001220E7">
      <w:pPr>
        <w:jc w:val="both"/>
        <w:rPr>
          <w:rFonts w:ascii="Arial" w:eastAsia="Times New Roman" w:hAnsi="Arial" w:cs="Arial"/>
          <w:b/>
        </w:rPr>
      </w:pPr>
      <w:r w:rsidRPr="00E13F47">
        <w:rPr>
          <w:rFonts w:ascii="Arial" w:eastAsia="Times New Roman" w:hAnsi="Arial" w:cs="Arial"/>
          <w:b/>
        </w:rPr>
        <w:t>OPD SWORN STAFF</w:t>
      </w:r>
    </w:p>
    <w:tbl>
      <w:tblPr>
        <w:tblStyle w:val="TableGrid"/>
        <w:tblW w:w="0" w:type="auto"/>
        <w:tblLook w:val="04A0" w:firstRow="1" w:lastRow="0" w:firstColumn="1" w:lastColumn="0" w:noHBand="0" w:noVBand="1"/>
      </w:tblPr>
      <w:tblGrid>
        <w:gridCol w:w="2525"/>
        <w:gridCol w:w="1399"/>
        <w:gridCol w:w="1399"/>
        <w:gridCol w:w="1270"/>
        <w:gridCol w:w="1342"/>
        <w:gridCol w:w="1242"/>
        <w:gridCol w:w="1037"/>
      </w:tblGrid>
      <w:tr w:rsidR="00447223" w:rsidRPr="00E13F47" w14:paraId="4BB566CF" w14:textId="77777777" w:rsidTr="00724B30">
        <w:tc>
          <w:tcPr>
            <w:tcW w:w="2525" w:type="dxa"/>
          </w:tcPr>
          <w:p w14:paraId="71021D4D" w14:textId="77777777" w:rsidR="00447223" w:rsidRPr="00E13F47" w:rsidRDefault="00447223" w:rsidP="001220E7">
            <w:pPr>
              <w:rPr>
                <w:rFonts w:ascii="Arial" w:eastAsia="Times New Roman" w:hAnsi="Arial" w:cs="Arial"/>
                <w:b/>
              </w:rPr>
            </w:pPr>
            <w:r w:rsidRPr="00E13F47">
              <w:rPr>
                <w:rFonts w:ascii="Arial" w:eastAsia="Times New Roman" w:hAnsi="Arial" w:cs="Arial"/>
                <w:b/>
              </w:rPr>
              <w:t>Race/Ethnicity</w:t>
            </w:r>
          </w:p>
        </w:tc>
        <w:tc>
          <w:tcPr>
            <w:tcW w:w="1399" w:type="dxa"/>
          </w:tcPr>
          <w:p w14:paraId="792AFFFD"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Female #</w:t>
            </w:r>
          </w:p>
        </w:tc>
        <w:tc>
          <w:tcPr>
            <w:tcW w:w="1399" w:type="dxa"/>
          </w:tcPr>
          <w:p w14:paraId="01AB9835"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Female %</w:t>
            </w:r>
          </w:p>
        </w:tc>
        <w:tc>
          <w:tcPr>
            <w:tcW w:w="1270" w:type="dxa"/>
          </w:tcPr>
          <w:p w14:paraId="2EFAD025"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Male #</w:t>
            </w:r>
          </w:p>
        </w:tc>
        <w:tc>
          <w:tcPr>
            <w:tcW w:w="1342" w:type="dxa"/>
          </w:tcPr>
          <w:p w14:paraId="670FD955"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Male %</w:t>
            </w:r>
          </w:p>
        </w:tc>
        <w:tc>
          <w:tcPr>
            <w:tcW w:w="1242" w:type="dxa"/>
          </w:tcPr>
          <w:p w14:paraId="66118411"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TOTAL</w:t>
            </w:r>
          </w:p>
        </w:tc>
        <w:tc>
          <w:tcPr>
            <w:tcW w:w="1037" w:type="dxa"/>
          </w:tcPr>
          <w:p w14:paraId="4904797C"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w:t>
            </w:r>
          </w:p>
        </w:tc>
      </w:tr>
      <w:tr w:rsidR="00447223" w:rsidRPr="00E13F47" w14:paraId="0E6547E0" w14:textId="77777777" w:rsidTr="00724B30">
        <w:tc>
          <w:tcPr>
            <w:tcW w:w="2525" w:type="dxa"/>
          </w:tcPr>
          <w:p w14:paraId="0935E819"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Asian</w:t>
            </w:r>
          </w:p>
        </w:tc>
        <w:tc>
          <w:tcPr>
            <w:tcW w:w="1399" w:type="dxa"/>
          </w:tcPr>
          <w:p w14:paraId="7415B2D6"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7</w:t>
            </w:r>
          </w:p>
        </w:tc>
        <w:tc>
          <w:tcPr>
            <w:tcW w:w="1399" w:type="dxa"/>
          </w:tcPr>
          <w:p w14:paraId="7F7ABEF0"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7.0%</w:t>
            </w:r>
          </w:p>
        </w:tc>
        <w:tc>
          <w:tcPr>
            <w:tcW w:w="1270" w:type="dxa"/>
          </w:tcPr>
          <w:p w14:paraId="22FBFF7D"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89</w:t>
            </w:r>
          </w:p>
        </w:tc>
        <w:tc>
          <w:tcPr>
            <w:tcW w:w="1342" w:type="dxa"/>
          </w:tcPr>
          <w:p w14:paraId="38853374"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13.71%</w:t>
            </w:r>
          </w:p>
        </w:tc>
        <w:tc>
          <w:tcPr>
            <w:tcW w:w="1242" w:type="dxa"/>
          </w:tcPr>
          <w:p w14:paraId="6913C932"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96</w:t>
            </w:r>
          </w:p>
        </w:tc>
        <w:tc>
          <w:tcPr>
            <w:tcW w:w="1037" w:type="dxa"/>
          </w:tcPr>
          <w:p w14:paraId="371A7E1F"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12.8%</w:t>
            </w:r>
          </w:p>
        </w:tc>
      </w:tr>
      <w:tr w:rsidR="00447223" w:rsidRPr="00E13F47" w14:paraId="1F80604C" w14:textId="77777777" w:rsidTr="00724B30">
        <w:tc>
          <w:tcPr>
            <w:tcW w:w="2525" w:type="dxa"/>
          </w:tcPr>
          <w:p w14:paraId="5E832355"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Black or African American</w:t>
            </w:r>
          </w:p>
        </w:tc>
        <w:tc>
          <w:tcPr>
            <w:tcW w:w="1399" w:type="dxa"/>
          </w:tcPr>
          <w:p w14:paraId="67EF4E3E"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20</w:t>
            </w:r>
          </w:p>
        </w:tc>
        <w:tc>
          <w:tcPr>
            <w:tcW w:w="1399" w:type="dxa"/>
          </w:tcPr>
          <w:p w14:paraId="62997C9C"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20.0%</w:t>
            </w:r>
          </w:p>
        </w:tc>
        <w:tc>
          <w:tcPr>
            <w:tcW w:w="1270" w:type="dxa"/>
          </w:tcPr>
          <w:p w14:paraId="354E4F94"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106</w:t>
            </w:r>
          </w:p>
        </w:tc>
        <w:tc>
          <w:tcPr>
            <w:tcW w:w="1342" w:type="dxa"/>
          </w:tcPr>
          <w:p w14:paraId="184FB19E"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16.33%</w:t>
            </w:r>
          </w:p>
        </w:tc>
        <w:tc>
          <w:tcPr>
            <w:tcW w:w="1242" w:type="dxa"/>
          </w:tcPr>
          <w:p w14:paraId="445DAD80"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126</w:t>
            </w:r>
          </w:p>
        </w:tc>
        <w:tc>
          <w:tcPr>
            <w:tcW w:w="1037" w:type="dxa"/>
          </w:tcPr>
          <w:p w14:paraId="58D5DCB1"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16.8%</w:t>
            </w:r>
          </w:p>
        </w:tc>
      </w:tr>
      <w:tr w:rsidR="00447223" w:rsidRPr="00E13F47" w14:paraId="6C1A7EAE" w14:textId="77777777" w:rsidTr="00724B30">
        <w:tc>
          <w:tcPr>
            <w:tcW w:w="2525" w:type="dxa"/>
          </w:tcPr>
          <w:p w14:paraId="1AFB0FF7"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Filipino</w:t>
            </w:r>
          </w:p>
        </w:tc>
        <w:tc>
          <w:tcPr>
            <w:tcW w:w="1399" w:type="dxa"/>
          </w:tcPr>
          <w:p w14:paraId="2CA02DBB"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w:t>
            </w:r>
          </w:p>
        </w:tc>
        <w:tc>
          <w:tcPr>
            <w:tcW w:w="1399" w:type="dxa"/>
          </w:tcPr>
          <w:p w14:paraId="18071EDA"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1.0%</w:t>
            </w:r>
          </w:p>
        </w:tc>
        <w:tc>
          <w:tcPr>
            <w:tcW w:w="1270" w:type="dxa"/>
          </w:tcPr>
          <w:p w14:paraId="64374259"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25</w:t>
            </w:r>
          </w:p>
        </w:tc>
        <w:tc>
          <w:tcPr>
            <w:tcW w:w="1342" w:type="dxa"/>
          </w:tcPr>
          <w:p w14:paraId="36F9302B"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3.85%</w:t>
            </w:r>
          </w:p>
        </w:tc>
        <w:tc>
          <w:tcPr>
            <w:tcW w:w="1242" w:type="dxa"/>
          </w:tcPr>
          <w:p w14:paraId="10B9A150"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26</w:t>
            </w:r>
          </w:p>
        </w:tc>
        <w:tc>
          <w:tcPr>
            <w:tcW w:w="1037" w:type="dxa"/>
          </w:tcPr>
          <w:p w14:paraId="3C6E3CAD"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3.5%</w:t>
            </w:r>
          </w:p>
        </w:tc>
      </w:tr>
      <w:tr w:rsidR="00447223" w:rsidRPr="00E13F47" w14:paraId="3B32E986" w14:textId="77777777" w:rsidTr="00724B30">
        <w:tc>
          <w:tcPr>
            <w:tcW w:w="2525" w:type="dxa"/>
          </w:tcPr>
          <w:p w14:paraId="4F7ABE24"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Hispanic or Latino</w:t>
            </w:r>
          </w:p>
        </w:tc>
        <w:tc>
          <w:tcPr>
            <w:tcW w:w="1399" w:type="dxa"/>
          </w:tcPr>
          <w:p w14:paraId="32DD3855"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31</w:t>
            </w:r>
          </w:p>
        </w:tc>
        <w:tc>
          <w:tcPr>
            <w:tcW w:w="1399" w:type="dxa"/>
          </w:tcPr>
          <w:p w14:paraId="6BC6D2C4"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31.0%</w:t>
            </w:r>
          </w:p>
        </w:tc>
        <w:tc>
          <w:tcPr>
            <w:tcW w:w="1270" w:type="dxa"/>
          </w:tcPr>
          <w:p w14:paraId="4590AAC1"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172</w:t>
            </w:r>
          </w:p>
        </w:tc>
        <w:tc>
          <w:tcPr>
            <w:tcW w:w="1342" w:type="dxa"/>
          </w:tcPr>
          <w:p w14:paraId="59F38A33"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26.50%</w:t>
            </w:r>
          </w:p>
        </w:tc>
        <w:tc>
          <w:tcPr>
            <w:tcW w:w="1242" w:type="dxa"/>
          </w:tcPr>
          <w:p w14:paraId="6F09A96E"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203</w:t>
            </w:r>
          </w:p>
        </w:tc>
        <w:tc>
          <w:tcPr>
            <w:tcW w:w="1037" w:type="dxa"/>
          </w:tcPr>
          <w:p w14:paraId="60B5D82C"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27.1%</w:t>
            </w:r>
          </w:p>
        </w:tc>
      </w:tr>
      <w:tr w:rsidR="00447223" w:rsidRPr="00E13F47" w14:paraId="144422CE" w14:textId="77777777" w:rsidTr="00724B30">
        <w:tc>
          <w:tcPr>
            <w:tcW w:w="2525" w:type="dxa"/>
          </w:tcPr>
          <w:p w14:paraId="2B3595D8"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Native American</w:t>
            </w:r>
          </w:p>
        </w:tc>
        <w:tc>
          <w:tcPr>
            <w:tcW w:w="1399" w:type="dxa"/>
          </w:tcPr>
          <w:p w14:paraId="41C242FB"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w:t>
            </w:r>
          </w:p>
        </w:tc>
        <w:tc>
          <w:tcPr>
            <w:tcW w:w="1399" w:type="dxa"/>
          </w:tcPr>
          <w:p w14:paraId="549063E9"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1.0%</w:t>
            </w:r>
          </w:p>
        </w:tc>
        <w:tc>
          <w:tcPr>
            <w:tcW w:w="1270" w:type="dxa"/>
          </w:tcPr>
          <w:p w14:paraId="4255BB7C"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w:t>
            </w:r>
          </w:p>
        </w:tc>
        <w:tc>
          <w:tcPr>
            <w:tcW w:w="1342" w:type="dxa"/>
          </w:tcPr>
          <w:p w14:paraId="6E0655B7"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.31%</w:t>
            </w:r>
          </w:p>
        </w:tc>
        <w:tc>
          <w:tcPr>
            <w:tcW w:w="1242" w:type="dxa"/>
          </w:tcPr>
          <w:p w14:paraId="04134D3D"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3</w:t>
            </w:r>
          </w:p>
        </w:tc>
        <w:tc>
          <w:tcPr>
            <w:tcW w:w="1037" w:type="dxa"/>
          </w:tcPr>
          <w:p w14:paraId="7386C518"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0.4%</w:t>
            </w:r>
          </w:p>
        </w:tc>
      </w:tr>
      <w:tr w:rsidR="00447223" w:rsidRPr="00E13F47" w14:paraId="3B2164F2" w14:textId="77777777" w:rsidTr="00724B30">
        <w:tc>
          <w:tcPr>
            <w:tcW w:w="2525" w:type="dxa"/>
          </w:tcPr>
          <w:p w14:paraId="14F800B2"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Undeclared/Other</w:t>
            </w:r>
          </w:p>
        </w:tc>
        <w:tc>
          <w:tcPr>
            <w:tcW w:w="1399" w:type="dxa"/>
          </w:tcPr>
          <w:p w14:paraId="093F6790"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4</w:t>
            </w:r>
          </w:p>
        </w:tc>
        <w:tc>
          <w:tcPr>
            <w:tcW w:w="1399" w:type="dxa"/>
          </w:tcPr>
          <w:p w14:paraId="6074A9F2"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4.0%</w:t>
            </w:r>
          </w:p>
        </w:tc>
        <w:tc>
          <w:tcPr>
            <w:tcW w:w="1270" w:type="dxa"/>
          </w:tcPr>
          <w:p w14:paraId="76A89050"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14</w:t>
            </w:r>
          </w:p>
        </w:tc>
        <w:tc>
          <w:tcPr>
            <w:tcW w:w="1342" w:type="dxa"/>
          </w:tcPr>
          <w:p w14:paraId="3BB54061"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2.16%</w:t>
            </w:r>
          </w:p>
        </w:tc>
        <w:tc>
          <w:tcPr>
            <w:tcW w:w="1242" w:type="dxa"/>
          </w:tcPr>
          <w:p w14:paraId="337391B2"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18</w:t>
            </w:r>
          </w:p>
        </w:tc>
        <w:tc>
          <w:tcPr>
            <w:tcW w:w="1037" w:type="dxa"/>
          </w:tcPr>
          <w:p w14:paraId="73A925F0"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2.4%</w:t>
            </w:r>
          </w:p>
        </w:tc>
      </w:tr>
      <w:tr w:rsidR="00447223" w:rsidRPr="00E13F47" w14:paraId="25E5134C" w14:textId="77777777" w:rsidTr="00724B30">
        <w:tc>
          <w:tcPr>
            <w:tcW w:w="2525" w:type="dxa"/>
          </w:tcPr>
          <w:p w14:paraId="0B2A5C07"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White or Caucasian</w:t>
            </w:r>
          </w:p>
        </w:tc>
        <w:tc>
          <w:tcPr>
            <w:tcW w:w="1399" w:type="dxa"/>
          </w:tcPr>
          <w:p w14:paraId="73193049"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36</w:t>
            </w:r>
          </w:p>
        </w:tc>
        <w:tc>
          <w:tcPr>
            <w:tcW w:w="1399" w:type="dxa"/>
          </w:tcPr>
          <w:p w14:paraId="285E661E"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36.0%</w:t>
            </w:r>
          </w:p>
        </w:tc>
        <w:tc>
          <w:tcPr>
            <w:tcW w:w="1270" w:type="dxa"/>
          </w:tcPr>
          <w:p w14:paraId="488061A4"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241</w:t>
            </w:r>
          </w:p>
        </w:tc>
        <w:tc>
          <w:tcPr>
            <w:tcW w:w="1342" w:type="dxa"/>
          </w:tcPr>
          <w:p w14:paraId="002EBB21"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37.13%</w:t>
            </w:r>
          </w:p>
        </w:tc>
        <w:tc>
          <w:tcPr>
            <w:tcW w:w="1242" w:type="dxa"/>
          </w:tcPr>
          <w:p w14:paraId="1BCD9FB5"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277</w:t>
            </w:r>
          </w:p>
        </w:tc>
        <w:tc>
          <w:tcPr>
            <w:tcW w:w="1037" w:type="dxa"/>
          </w:tcPr>
          <w:p w14:paraId="3A749781"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37.0%</w:t>
            </w:r>
          </w:p>
        </w:tc>
      </w:tr>
    </w:tbl>
    <w:p w14:paraId="6D1D2788" w14:textId="77777777" w:rsidR="001220E7" w:rsidRDefault="001220E7" w:rsidP="001220E7">
      <w:pPr>
        <w:jc w:val="both"/>
        <w:rPr>
          <w:rFonts w:ascii="Arial" w:eastAsia="Times New Roman" w:hAnsi="Arial" w:cs="Arial"/>
          <w:b/>
        </w:rPr>
      </w:pPr>
    </w:p>
    <w:p w14:paraId="45A4AAF6" w14:textId="55F88804" w:rsidR="006E5ED5" w:rsidRDefault="006E5ED5" w:rsidP="001220E7">
      <w:pPr>
        <w:jc w:val="both"/>
        <w:rPr>
          <w:rFonts w:ascii="Arial" w:eastAsia="Times New Roman" w:hAnsi="Arial" w:cs="Arial"/>
          <w:b/>
        </w:rPr>
      </w:pPr>
    </w:p>
    <w:p w14:paraId="3A86E33C" w14:textId="77777777" w:rsidR="006962DC" w:rsidRDefault="006962DC" w:rsidP="001220E7">
      <w:pPr>
        <w:jc w:val="both"/>
        <w:rPr>
          <w:rFonts w:ascii="Arial" w:eastAsia="Times New Roman" w:hAnsi="Arial" w:cs="Arial"/>
          <w:b/>
        </w:rPr>
      </w:pPr>
    </w:p>
    <w:p w14:paraId="422524F8" w14:textId="507F7B29" w:rsidR="00447223" w:rsidRPr="00E13F47" w:rsidRDefault="00447223" w:rsidP="001220E7">
      <w:pPr>
        <w:jc w:val="both"/>
        <w:rPr>
          <w:rFonts w:ascii="Arial" w:eastAsia="Times New Roman" w:hAnsi="Arial" w:cs="Arial"/>
          <w:b/>
        </w:rPr>
      </w:pPr>
      <w:r w:rsidRPr="00E13F47">
        <w:rPr>
          <w:rFonts w:ascii="Arial" w:eastAsia="Times New Roman" w:hAnsi="Arial" w:cs="Arial"/>
          <w:b/>
        </w:rPr>
        <w:lastRenderedPageBreak/>
        <w:t>OPD PROFESSIONAL STAFF</w:t>
      </w:r>
    </w:p>
    <w:tbl>
      <w:tblPr>
        <w:tblStyle w:val="TableGrid"/>
        <w:tblW w:w="0" w:type="auto"/>
        <w:tblLook w:val="04A0" w:firstRow="1" w:lastRow="0" w:firstColumn="1" w:lastColumn="0" w:noHBand="0" w:noVBand="1"/>
      </w:tblPr>
      <w:tblGrid>
        <w:gridCol w:w="2515"/>
        <w:gridCol w:w="1283"/>
        <w:gridCol w:w="1283"/>
        <w:gridCol w:w="1283"/>
        <w:gridCol w:w="1283"/>
        <w:gridCol w:w="1283"/>
        <w:gridCol w:w="1284"/>
      </w:tblGrid>
      <w:tr w:rsidR="00447223" w:rsidRPr="00E13F47" w14:paraId="1F9FC49B" w14:textId="77777777" w:rsidTr="00724B30">
        <w:tc>
          <w:tcPr>
            <w:tcW w:w="2515" w:type="dxa"/>
          </w:tcPr>
          <w:p w14:paraId="26082532" w14:textId="77777777" w:rsidR="00447223" w:rsidRPr="00E13F47" w:rsidRDefault="00447223" w:rsidP="001220E7">
            <w:pPr>
              <w:rPr>
                <w:rFonts w:ascii="Arial" w:eastAsia="Times New Roman" w:hAnsi="Arial" w:cs="Arial"/>
                <w:b/>
              </w:rPr>
            </w:pPr>
            <w:r w:rsidRPr="00E13F47">
              <w:rPr>
                <w:rFonts w:ascii="Arial" w:eastAsia="Times New Roman" w:hAnsi="Arial" w:cs="Arial"/>
                <w:b/>
              </w:rPr>
              <w:t>Race/Ethnicity</w:t>
            </w:r>
          </w:p>
        </w:tc>
        <w:tc>
          <w:tcPr>
            <w:tcW w:w="1283" w:type="dxa"/>
          </w:tcPr>
          <w:p w14:paraId="2187C69C"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Female #</w:t>
            </w:r>
          </w:p>
        </w:tc>
        <w:tc>
          <w:tcPr>
            <w:tcW w:w="1283" w:type="dxa"/>
          </w:tcPr>
          <w:p w14:paraId="70DB012C"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Female %</w:t>
            </w:r>
          </w:p>
        </w:tc>
        <w:tc>
          <w:tcPr>
            <w:tcW w:w="1283" w:type="dxa"/>
          </w:tcPr>
          <w:p w14:paraId="1CC8DF29"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Male #</w:t>
            </w:r>
          </w:p>
        </w:tc>
        <w:tc>
          <w:tcPr>
            <w:tcW w:w="1283" w:type="dxa"/>
          </w:tcPr>
          <w:p w14:paraId="6125EA34"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Male %</w:t>
            </w:r>
          </w:p>
        </w:tc>
        <w:tc>
          <w:tcPr>
            <w:tcW w:w="1283" w:type="dxa"/>
          </w:tcPr>
          <w:p w14:paraId="0696C395"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TOTAL</w:t>
            </w:r>
          </w:p>
        </w:tc>
        <w:tc>
          <w:tcPr>
            <w:tcW w:w="1284" w:type="dxa"/>
          </w:tcPr>
          <w:p w14:paraId="60D9D3D0" w14:textId="77777777" w:rsidR="00447223" w:rsidRPr="00E13F47" w:rsidRDefault="00447223" w:rsidP="001220E7">
            <w:pPr>
              <w:jc w:val="center"/>
              <w:rPr>
                <w:rFonts w:ascii="Arial" w:eastAsia="Times New Roman" w:hAnsi="Arial" w:cs="Arial"/>
                <w:b/>
              </w:rPr>
            </w:pPr>
            <w:r w:rsidRPr="00E13F47">
              <w:rPr>
                <w:rFonts w:ascii="Arial" w:eastAsia="Times New Roman" w:hAnsi="Arial" w:cs="Arial"/>
                <w:b/>
              </w:rPr>
              <w:t>%</w:t>
            </w:r>
          </w:p>
        </w:tc>
      </w:tr>
      <w:tr w:rsidR="00447223" w:rsidRPr="00E13F47" w14:paraId="1F3873CB" w14:textId="77777777" w:rsidTr="00724B30">
        <w:tc>
          <w:tcPr>
            <w:tcW w:w="2515" w:type="dxa"/>
          </w:tcPr>
          <w:p w14:paraId="4F463351"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Asian</w:t>
            </w:r>
          </w:p>
        </w:tc>
        <w:tc>
          <w:tcPr>
            <w:tcW w:w="1283" w:type="dxa"/>
          </w:tcPr>
          <w:p w14:paraId="532B8F6E"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41</w:t>
            </w:r>
          </w:p>
        </w:tc>
        <w:tc>
          <w:tcPr>
            <w:tcW w:w="1283" w:type="dxa"/>
            <w:tcBorders>
              <w:top w:val="nil"/>
              <w:left w:val="nil"/>
              <w:bottom w:val="single" w:sz="8" w:space="0" w:color="auto"/>
              <w:right w:val="single" w:sz="8" w:space="0" w:color="auto"/>
            </w:tcBorders>
            <w:shd w:val="clear" w:color="auto" w:fill="auto"/>
            <w:vAlign w:val="center"/>
          </w:tcPr>
          <w:p w14:paraId="492A431B"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14.1%</w:t>
            </w:r>
          </w:p>
        </w:tc>
        <w:tc>
          <w:tcPr>
            <w:tcW w:w="1283" w:type="dxa"/>
            <w:tcBorders>
              <w:top w:val="nil"/>
              <w:left w:val="nil"/>
              <w:bottom w:val="single" w:sz="8" w:space="0" w:color="auto"/>
              <w:right w:val="single" w:sz="8" w:space="0" w:color="auto"/>
            </w:tcBorders>
            <w:shd w:val="clear" w:color="auto" w:fill="auto"/>
            <w:vAlign w:val="center"/>
          </w:tcPr>
          <w:p w14:paraId="755D3BF8"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31</w:t>
            </w:r>
          </w:p>
        </w:tc>
        <w:tc>
          <w:tcPr>
            <w:tcW w:w="1283" w:type="dxa"/>
            <w:tcBorders>
              <w:top w:val="nil"/>
              <w:left w:val="nil"/>
              <w:bottom w:val="single" w:sz="8" w:space="0" w:color="auto"/>
              <w:right w:val="single" w:sz="8" w:space="0" w:color="auto"/>
            </w:tcBorders>
            <w:shd w:val="clear" w:color="auto" w:fill="auto"/>
            <w:vAlign w:val="center"/>
          </w:tcPr>
          <w:p w14:paraId="14D29F25"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24.00%</w:t>
            </w:r>
          </w:p>
        </w:tc>
        <w:tc>
          <w:tcPr>
            <w:tcW w:w="1283" w:type="dxa"/>
            <w:tcBorders>
              <w:top w:val="nil"/>
              <w:left w:val="nil"/>
              <w:bottom w:val="single" w:sz="8" w:space="0" w:color="auto"/>
              <w:right w:val="single" w:sz="8" w:space="0" w:color="auto"/>
            </w:tcBorders>
            <w:shd w:val="clear" w:color="auto" w:fill="auto"/>
            <w:vAlign w:val="center"/>
          </w:tcPr>
          <w:p w14:paraId="6F300044"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72</w:t>
            </w:r>
          </w:p>
        </w:tc>
        <w:tc>
          <w:tcPr>
            <w:tcW w:w="1284" w:type="dxa"/>
            <w:tcBorders>
              <w:top w:val="nil"/>
              <w:left w:val="nil"/>
              <w:bottom w:val="single" w:sz="8" w:space="0" w:color="auto"/>
              <w:right w:val="single" w:sz="8" w:space="0" w:color="auto"/>
            </w:tcBorders>
            <w:shd w:val="clear" w:color="auto" w:fill="auto"/>
            <w:vAlign w:val="center"/>
          </w:tcPr>
          <w:p w14:paraId="1F8728E4"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17.1%</w:t>
            </w:r>
          </w:p>
        </w:tc>
      </w:tr>
      <w:tr w:rsidR="00447223" w:rsidRPr="00E13F47" w14:paraId="4B475EF5" w14:textId="77777777" w:rsidTr="00724B30">
        <w:tc>
          <w:tcPr>
            <w:tcW w:w="2515" w:type="dxa"/>
          </w:tcPr>
          <w:p w14:paraId="53BEF8BA"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Black or African American</w:t>
            </w:r>
          </w:p>
        </w:tc>
        <w:tc>
          <w:tcPr>
            <w:tcW w:w="1283" w:type="dxa"/>
          </w:tcPr>
          <w:p w14:paraId="6058EA6F"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132</w:t>
            </w:r>
          </w:p>
        </w:tc>
        <w:tc>
          <w:tcPr>
            <w:tcW w:w="1283" w:type="dxa"/>
            <w:tcBorders>
              <w:top w:val="nil"/>
              <w:left w:val="nil"/>
              <w:bottom w:val="single" w:sz="8" w:space="0" w:color="auto"/>
              <w:right w:val="single" w:sz="8" w:space="0" w:color="auto"/>
            </w:tcBorders>
            <w:shd w:val="clear" w:color="auto" w:fill="auto"/>
            <w:vAlign w:val="center"/>
          </w:tcPr>
          <w:p w14:paraId="4E268F9F"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45.4%</w:t>
            </w:r>
          </w:p>
        </w:tc>
        <w:tc>
          <w:tcPr>
            <w:tcW w:w="1283" w:type="dxa"/>
            <w:tcBorders>
              <w:top w:val="nil"/>
              <w:left w:val="nil"/>
              <w:bottom w:val="single" w:sz="8" w:space="0" w:color="auto"/>
              <w:right w:val="single" w:sz="8" w:space="0" w:color="auto"/>
            </w:tcBorders>
            <w:shd w:val="clear" w:color="auto" w:fill="auto"/>
            <w:vAlign w:val="center"/>
          </w:tcPr>
          <w:p w14:paraId="3860A4CC"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30</w:t>
            </w:r>
          </w:p>
        </w:tc>
        <w:tc>
          <w:tcPr>
            <w:tcW w:w="1283" w:type="dxa"/>
            <w:tcBorders>
              <w:top w:val="nil"/>
              <w:left w:val="nil"/>
              <w:bottom w:val="single" w:sz="8" w:space="0" w:color="auto"/>
              <w:right w:val="single" w:sz="8" w:space="0" w:color="auto"/>
            </w:tcBorders>
            <w:shd w:val="clear" w:color="auto" w:fill="auto"/>
            <w:vAlign w:val="center"/>
          </w:tcPr>
          <w:p w14:paraId="6E9EFE5F"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23.30%</w:t>
            </w:r>
          </w:p>
        </w:tc>
        <w:tc>
          <w:tcPr>
            <w:tcW w:w="1283" w:type="dxa"/>
            <w:tcBorders>
              <w:top w:val="nil"/>
              <w:left w:val="nil"/>
              <w:bottom w:val="single" w:sz="8" w:space="0" w:color="auto"/>
              <w:right w:val="single" w:sz="8" w:space="0" w:color="auto"/>
            </w:tcBorders>
            <w:shd w:val="clear" w:color="auto" w:fill="auto"/>
            <w:vAlign w:val="center"/>
          </w:tcPr>
          <w:p w14:paraId="649181AA"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162</w:t>
            </w:r>
          </w:p>
        </w:tc>
        <w:tc>
          <w:tcPr>
            <w:tcW w:w="1284" w:type="dxa"/>
            <w:tcBorders>
              <w:top w:val="nil"/>
              <w:left w:val="nil"/>
              <w:bottom w:val="single" w:sz="8" w:space="0" w:color="auto"/>
              <w:right w:val="single" w:sz="8" w:space="0" w:color="auto"/>
            </w:tcBorders>
            <w:shd w:val="clear" w:color="auto" w:fill="auto"/>
            <w:vAlign w:val="center"/>
          </w:tcPr>
          <w:p w14:paraId="3D283A0A"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38.6%</w:t>
            </w:r>
          </w:p>
        </w:tc>
      </w:tr>
      <w:tr w:rsidR="00447223" w:rsidRPr="00E13F47" w14:paraId="2B8CA799" w14:textId="77777777" w:rsidTr="00724B30">
        <w:tc>
          <w:tcPr>
            <w:tcW w:w="2515" w:type="dxa"/>
          </w:tcPr>
          <w:p w14:paraId="0C12C83B"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Filipino</w:t>
            </w:r>
          </w:p>
        </w:tc>
        <w:tc>
          <w:tcPr>
            <w:tcW w:w="1283" w:type="dxa"/>
          </w:tcPr>
          <w:p w14:paraId="47983023"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1</w:t>
            </w:r>
          </w:p>
        </w:tc>
        <w:tc>
          <w:tcPr>
            <w:tcW w:w="1283" w:type="dxa"/>
            <w:tcBorders>
              <w:top w:val="nil"/>
              <w:left w:val="nil"/>
              <w:bottom w:val="single" w:sz="8" w:space="0" w:color="auto"/>
              <w:right w:val="single" w:sz="8" w:space="0" w:color="auto"/>
            </w:tcBorders>
            <w:shd w:val="clear" w:color="auto" w:fill="auto"/>
            <w:vAlign w:val="center"/>
          </w:tcPr>
          <w:p w14:paraId="347B8B1A"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0.3%</w:t>
            </w:r>
          </w:p>
        </w:tc>
        <w:tc>
          <w:tcPr>
            <w:tcW w:w="1283" w:type="dxa"/>
            <w:tcBorders>
              <w:top w:val="nil"/>
              <w:left w:val="nil"/>
              <w:bottom w:val="single" w:sz="8" w:space="0" w:color="auto"/>
              <w:right w:val="single" w:sz="8" w:space="0" w:color="auto"/>
            </w:tcBorders>
            <w:shd w:val="clear" w:color="auto" w:fill="auto"/>
            <w:vAlign w:val="center"/>
          </w:tcPr>
          <w:p w14:paraId="02943CDD"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3</w:t>
            </w:r>
          </w:p>
        </w:tc>
        <w:tc>
          <w:tcPr>
            <w:tcW w:w="1283" w:type="dxa"/>
            <w:tcBorders>
              <w:top w:val="nil"/>
              <w:left w:val="nil"/>
              <w:bottom w:val="single" w:sz="8" w:space="0" w:color="auto"/>
              <w:right w:val="single" w:sz="8" w:space="0" w:color="auto"/>
            </w:tcBorders>
            <w:shd w:val="clear" w:color="auto" w:fill="auto"/>
            <w:vAlign w:val="center"/>
          </w:tcPr>
          <w:p w14:paraId="0BEFAAA7"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2.30%</w:t>
            </w:r>
          </w:p>
        </w:tc>
        <w:tc>
          <w:tcPr>
            <w:tcW w:w="1283" w:type="dxa"/>
            <w:tcBorders>
              <w:top w:val="nil"/>
              <w:left w:val="nil"/>
              <w:bottom w:val="single" w:sz="8" w:space="0" w:color="auto"/>
              <w:right w:val="single" w:sz="8" w:space="0" w:color="auto"/>
            </w:tcBorders>
            <w:shd w:val="clear" w:color="auto" w:fill="auto"/>
            <w:vAlign w:val="center"/>
          </w:tcPr>
          <w:p w14:paraId="04727D46"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4</w:t>
            </w:r>
          </w:p>
        </w:tc>
        <w:tc>
          <w:tcPr>
            <w:tcW w:w="1284" w:type="dxa"/>
            <w:tcBorders>
              <w:top w:val="nil"/>
              <w:left w:val="nil"/>
              <w:bottom w:val="single" w:sz="8" w:space="0" w:color="auto"/>
              <w:right w:val="single" w:sz="8" w:space="0" w:color="auto"/>
            </w:tcBorders>
            <w:shd w:val="clear" w:color="auto" w:fill="auto"/>
            <w:vAlign w:val="center"/>
          </w:tcPr>
          <w:p w14:paraId="373C9E2B"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1.0%</w:t>
            </w:r>
          </w:p>
        </w:tc>
      </w:tr>
      <w:tr w:rsidR="00447223" w:rsidRPr="00E13F47" w14:paraId="55E63E1C" w14:textId="77777777" w:rsidTr="00724B30">
        <w:tc>
          <w:tcPr>
            <w:tcW w:w="2515" w:type="dxa"/>
          </w:tcPr>
          <w:p w14:paraId="4E067292"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Hispanic or Latino</w:t>
            </w:r>
          </w:p>
        </w:tc>
        <w:tc>
          <w:tcPr>
            <w:tcW w:w="1283" w:type="dxa"/>
          </w:tcPr>
          <w:p w14:paraId="68662AA5"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55</w:t>
            </w:r>
          </w:p>
        </w:tc>
        <w:tc>
          <w:tcPr>
            <w:tcW w:w="1283" w:type="dxa"/>
            <w:tcBorders>
              <w:top w:val="nil"/>
              <w:left w:val="nil"/>
              <w:bottom w:val="single" w:sz="8" w:space="0" w:color="auto"/>
              <w:right w:val="single" w:sz="8" w:space="0" w:color="auto"/>
            </w:tcBorders>
            <w:shd w:val="clear" w:color="auto" w:fill="auto"/>
            <w:vAlign w:val="center"/>
          </w:tcPr>
          <w:p w14:paraId="327EF374"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18.9%</w:t>
            </w:r>
          </w:p>
        </w:tc>
        <w:tc>
          <w:tcPr>
            <w:tcW w:w="1283" w:type="dxa"/>
            <w:tcBorders>
              <w:top w:val="nil"/>
              <w:left w:val="nil"/>
              <w:bottom w:val="single" w:sz="8" w:space="0" w:color="auto"/>
              <w:right w:val="single" w:sz="8" w:space="0" w:color="auto"/>
            </w:tcBorders>
            <w:shd w:val="clear" w:color="auto" w:fill="auto"/>
            <w:vAlign w:val="center"/>
          </w:tcPr>
          <w:p w14:paraId="4B4E781D"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30</w:t>
            </w:r>
          </w:p>
        </w:tc>
        <w:tc>
          <w:tcPr>
            <w:tcW w:w="1283" w:type="dxa"/>
            <w:tcBorders>
              <w:top w:val="nil"/>
              <w:left w:val="nil"/>
              <w:bottom w:val="single" w:sz="8" w:space="0" w:color="auto"/>
              <w:right w:val="single" w:sz="8" w:space="0" w:color="auto"/>
            </w:tcBorders>
            <w:shd w:val="clear" w:color="auto" w:fill="auto"/>
            <w:vAlign w:val="center"/>
          </w:tcPr>
          <w:p w14:paraId="1C62DB9C"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23.30%</w:t>
            </w:r>
          </w:p>
        </w:tc>
        <w:tc>
          <w:tcPr>
            <w:tcW w:w="1283" w:type="dxa"/>
            <w:tcBorders>
              <w:top w:val="nil"/>
              <w:left w:val="nil"/>
              <w:bottom w:val="single" w:sz="8" w:space="0" w:color="auto"/>
              <w:right w:val="single" w:sz="8" w:space="0" w:color="auto"/>
            </w:tcBorders>
            <w:shd w:val="clear" w:color="auto" w:fill="auto"/>
            <w:vAlign w:val="center"/>
          </w:tcPr>
          <w:p w14:paraId="178FB8CE"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85</w:t>
            </w:r>
          </w:p>
        </w:tc>
        <w:tc>
          <w:tcPr>
            <w:tcW w:w="1284" w:type="dxa"/>
            <w:tcBorders>
              <w:top w:val="nil"/>
              <w:left w:val="nil"/>
              <w:bottom w:val="single" w:sz="8" w:space="0" w:color="auto"/>
              <w:right w:val="single" w:sz="8" w:space="0" w:color="auto"/>
            </w:tcBorders>
            <w:shd w:val="clear" w:color="auto" w:fill="auto"/>
            <w:vAlign w:val="center"/>
          </w:tcPr>
          <w:p w14:paraId="7FB17519"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20.2%</w:t>
            </w:r>
          </w:p>
        </w:tc>
      </w:tr>
      <w:tr w:rsidR="00447223" w:rsidRPr="00E13F47" w14:paraId="4EDDA1DB" w14:textId="77777777" w:rsidTr="00724B30">
        <w:tc>
          <w:tcPr>
            <w:tcW w:w="2515" w:type="dxa"/>
          </w:tcPr>
          <w:p w14:paraId="7CE9A617"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Native American</w:t>
            </w:r>
          </w:p>
        </w:tc>
        <w:tc>
          <w:tcPr>
            <w:tcW w:w="1283" w:type="dxa"/>
          </w:tcPr>
          <w:p w14:paraId="2A95AC1B"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w:t>
            </w:r>
          </w:p>
        </w:tc>
        <w:tc>
          <w:tcPr>
            <w:tcW w:w="1283" w:type="dxa"/>
            <w:tcBorders>
              <w:top w:val="nil"/>
              <w:left w:val="nil"/>
              <w:bottom w:val="single" w:sz="8" w:space="0" w:color="auto"/>
              <w:right w:val="single" w:sz="8" w:space="0" w:color="auto"/>
            </w:tcBorders>
            <w:shd w:val="clear" w:color="auto" w:fill="auto"/>
            <w:vAlign w:val="center"/>
          </w:tcPr>
          <w:p w14:paraId="4AF84314"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0.7%</w:t>
            </w:r>
          </w:p>
        </w:tc>
        <w:tc>
          <w:tcPr>
            <w:tcW w:w="1283" w:type="dxa"/>
            <w:tcBorders>
              <w:top w:val="nil"/>
              <w:left w:val="nil"/>
              <w:bottom w:val="single" w:sz="8" w:space="0" w:color="auto"/>
              <w:right w:val="single" w:sz="8" w:space="0" w:color="auto"/>
            </w:tcBorders>
            <w:shd w:val="clear" w:color="auto" w:fill="auto"/>
            <w:vAlign w:val="center"/>
          </w:tcPr>
          <w:p w14:paraId="313223BE"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0</w:t>
            </w:r>
          </w:p>
        </w:tc>
        <w:tc>
          <w:tcPr>
            <w:tcW w:w="1283" w:type="dxa"/>
            <w:tcBorders>
              <w:top w:val="nil"/>
              <w:left w:val="nil"/>
              <w:bottom w:val="single" w:sz="8" w:space="0" w:color="auto"/>
              <w:right w:val="single" w:sz="8" w:space="0" w:color="auto"/>
            </w:tcBorders>
            <w:shd w:val="clear" w:color="auto" w:fill="auto"/>
            <w:vAlign w:val="center"/>
          </w:tcPr>
          <w:p w14:paraId="6B9202D1"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0.00%</w:t>
            </w:r>
          </w:p>
        </w:tc>
        <w:tc>
          <w:tcPr>
            <w:tcW w:w="1283" w:type="dxa"/>
            <w:tcBorders>
              <w:top w:val="nil"/>
              <w:left w:val="nil"/>
              <w:bottom w:val="single" w:sz="8" w:space="0" w:color="auto"/>
              <w:right w:val="single" w:sz="8" w:space="0" w:color="auto"/>
            </w:tcBorders>
            <w:shd w:val="clear" w:color="auto" w:fill="auto"/>
            <w:vAlign w:val="center"/>
          </w:tcPr>
          <w:p w14:paraId="5B83011D"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2</w:t>
            </w:r>
          </w:p>
        </w:tc>
        <w:tc>
          <w:tcPr>
            <w:tcW w:w="1284" w:type="dxa"/>
            <w:tcBorders>
              <w:top w:val="nil"/>
              <w:left w:val="nil"/>
              <w:bottom w:val="single" w:sz="8" w:space="0" w:color="auto"/>
              <w:right w:val="single" w:sz="8" w:space="0" w:color="auto"/>
            </w:tcBorders>
            <w:shd w:val="clear" w:color="auto" w:fill="auto"/>
            <w:vAlign w:val="center"/>
          </w:tcPr>
          <w:p w14:paraId="4BCE92AC"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0.5%</w:t>
            </w:r>
          </w:p>
        </w:tc>
      </w:tr>
      <w:tr w:rsidR="00447223" w:rsidRPr="00E13F47" w14:paraId="1C156F2A" w14:textId="77777777" w:rsidTr="00724B30">
        <w:tc>
          <w:tcPr>
            <w:tcW w:w="2515" w:type="dxa"/>
          </w:tcPr>
          <w:p w14:paraId="27973271"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Undeclared/Other</w:t>
            </w:r>
          </w:p>
        </w:tc>
        <w:tc>
          <w:tcPr>
            <w:tcW w:w="1283" w:type="dxa"/>
          </w:tcPr>
          <w:p w14:paraId="6E76D165"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2</w:t>
            </w:r>
          </w:p>
        </w:tc>
        <w:tc>
          <w:tcPr>
            <w:tcW w:w="1283" w:type="dxa"/>
            <w:tcBorders>
              <w:top w:val="nil"/>
              <w:left w:val="nil"/>
              <w:bottom w:val="single" w:sz="8" w:space="0" w:color="auto"/>
              <w:right w:val="single" w:sz="8" w:space="0" w:color="auto"/>
            </w:tcBorders>
            <w:shd w:val="clear" w:color="auto" w:fill="auto"/>
            <w:vAlign w:val="center"/>
          </w:tcPr>
          <w:p w14:paraId="5F4C004F"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0.7%</w:t>
            </w:r>
          </w:p>
        </w:tc>
        <w:tc>
          <w:tcPr>
            <w:tcW w:w="1283" w:type="dxa"/>
            <w:tcBorders>
              <w:top w:val="nil"/>
              <w:left w:val="nil"/>
              <w:bottom w:val="single" w:sz="8" w:space="0" w:color="auto"/>
              <w:right w:val="single" w:sz="8" w:space="0" w:color="auto"/>
            </w:tcBorders>
            <w:shd w:val="clear" w:color="auto" w:fill="auto"/>
            <w:vAlign w:val="center"/>
          </w:tcPr>
          <w:p w14:paraId="01B4B0D8"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8</w:t>
            </w:r>
          </w:p>
        </w:tc>
        <w:tc>
          <w:tcPr>
            <w:tcW w:w="1283" w:type="dxa"/>
            <w:tcBorders>
              <w:top w:val="nil"/>
              <w:left w:val="nil"/>
              <w:bottom w:val="single" w:sz="8" w:space="0" w:color="auto"/>
              <w:right w:val="single" w:sz="8" w:space="0" w:color="auto"/>
            </w:tcBorders>
            <w:shd w:val="clear" w:color="auto" w:fill="auto"/>
            <w:vAlign w:val="center"/>
          </w:tcPr>
          <w:p w14:paraId="0BF0EF4A"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6.20%</w:t>
            </w:r>
          </w:p>
        </w:tc>
        <w:tc>
          <w:tcPr>
            <w:tcW w:w="1283" w:type="dxa"/>
            <w:tcBorders>
              <w:top w:val="nil"/>
              <w:left w:val="nil"/>
              <w:bottom w:val="single" w:sz="8" w:space="0" w:color="auto"/>
              <w:right w:val="single" w:sz="8" w:space="0" w:color="auto"/>
            </w:tcBorders>
            <w:shd w:val="clear" w:color="auto" w:fill="auto"/>
            <w:vAlign w:val="center"/>
          </w:tcPr>
          <w:p w14:paraId="3518B2CB"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10</w:t>
            </w:r>
          </w:p>
        </w:tc>
        <w:tc>
          <w:tcPr>
            <w:tcW w:w="1284" w:type="dxa"/>
            <w:tcBorders>
              <w:top w:val="nil"/>
              <w:left w:val="nil"/>
              <w:bottom w:val="single" w:sz="8" w:space="0" w:color="auto"/>
              <w:right w:val="single" w:sz="8" w:space="0" w:color="auto"/>
            </w:tcBorders>
            <w:shd w:val="clear" w:color="auto" w:fill="auto"/>
            <w:vAlign w:val="center"/>
          </w:tcPr>
          <w:p w14:paraId="0F8FD61A"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2.4%</w:t>
            </w:r>
          </w:p>
        </w:tc>
      </w:tr>
      <w:tr w:rsidR="00447223" w:rsidRPr="00E13F47" w14:paraId="7E0501F3" w14:textId="77777777" w:rsidTr="00724B30">
        <w:tc>
          <w:tcPr>
            <w:tcW w:w="2515" w:type="dxa"/>
          </w:tcPr>
          <w:p w14:paraId="7D565391" w14:textId="77777777" w:rsidR="00447223" w:rsidRPr="00E13F47" w:rsidRDefault="00447223" w:rsidP="001220E7">
            <w:pPr>
              <w:rPr>
                <w:rFonts w:ascii="Arial" w:eastAsia="Times New Roman" w:hAnsi="Arial" w:cs="Arial"/>
                <w:bCs/>
              </w:rPr>
            </w:pPr>
            <w:r w:rsidRPr="00E13F47">
              <w:rPr>
                <w:rFonts w:ascii="Arial" w:eastAsia="Times New Roman" w:hAnsi="Arial" w:cs="Arial"/>
                <w:bCs/>
              </w:rPr>
              <w:t>White or Caucasian</w:t>
            </w:r>
          </w:p>
        </w:tc>
        <w:tc>
          <w:tcPr>
            <w:tcW w:w="1283" w:type="dxa"/>
          </w:tcPr>
          <w:p w14:paraId="73D0D7CC" w14:textId="77777777" w:rsidR="00447223" w:rsidRPr="00E13F47" w:rsidRDefault="00447223" w:rsidP="001220E7">
            <w:pPr>
              <w:jc w:val="center"/>
              <w:rPr>
                <w:rFonts w:ascii="Arial" w:eastAsia="Times New Roman" w:hAnsi="Arial" w:cs="Arial"/>
                <w:bCs/>
              </w:rPr>
            </w:pPr>
            <w:r w:rsidRPr="00E13F47">
              <w:rPr>
                <w:rFonts w:ascii="Arial" w:eastAsia="Times New Roman" w:hAnsi="Arial" w:cs="Arial"/>
                <w:bCs/>
              </w:rPr>
              <w:t>58</w:t>
            </w:r>
          </w:p>
        </w:tc>
        <w:tc>
          <w:tcPr>
            <w:tcW w:w="1283" w:type="dxa"/>
            <w:tcBorders>
              <w:top w:val="nil"/>
              <w:left w:val="nil"/>
              <w:bottom w:val="single" w:sz="8" w:space="0" w:color="auto"/>
              <w:right w:val="single" w:sz="8" w:space="0" w:color="auto"/>
            </w:tcBorders>
            <w:shd w:val="clear" w:color="auto" w:fill="auto"/>
            <w:vAlign w:val="center"/>
          </w:tcPr>
          <w:p w14:paraId="2DF3A7EB"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19.9%</w:t>
            </w:r>
          </w:p>
        </w:tc>
        <w:tc>
          <w:tcPr>
            <w:tcW w:w="1283" w:type="dxa"/>
            <w:tcBorders>
              <w:top w:val="nil"/>
              <w:left w:val="nil"/>
              <w:bottom w:val="single" w:sz="8" w:space="0" w:color="auto"/>
              <w:right w:val="single" w:sz="8" w:space="0" w:color="auto"/>
            </w:tcBorders>
            <w:shd w:val="clear" w:color="auto" w:fill="auto"/>
            <w:vAlign w:val="center"/>
          </w:tcPr>
          <w:p w14:paraId="777DB11E"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27</w:t>
            </w:r>
          </w:p>
        </w:tc>
        <w:tc>
          <w:tcPr>
            <w:tcW w:w="1283" w:type="dxa"/>
            <w:tcBorders>
              <w:top w:val="nil"/>
              <w:left w:val="nil"/>
              <w:bottom w:val="single" w:sz="8" w:space="0" w:color="auto"/>
              <w:right w:val="single" w:sz="8" w:space="0" w:color="auto"/>
            </w:tcBorders>
            <w:shd w:val="clear" w:color="auto" w:fill="auto"/>
            <w:vAlign w:val="center"/>
          </w:tcPr>
          <w:p w14:paraId="2C00C86E"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20.90%</w:t>
            </w:r>
          </w:p>
        </w:tc>
        <w:tc>
          <w:tcPr>
            <w:tcW w:w="1283" w:type="dxa"/>
            <w:tcBorders>
              <w:top w:val="nil"/>
              <w:left w:val="nil"/>
              <w:bottom w:val="single" w:sz="8" w:space="0" w:color="auto"/>
              <w:right w:val="single" w:sz="8" w:space="0" w:color="auto"/>
            </w:tcBorders>
            <w:shd w:val="clear" w:color="auto" w:fill="auto"/>
            <w:vAlign w:val="center"/>
          </w:tcPr>
          <w:p w14:paraId="3515F99B"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85</w:t>
            </w:r>
          </w:p>
        </w:tc>
        <w:tc>
          <w:tcPr>
            <w:tcW w:w="1284" w:type="dxa"/>
            <w:tcBorders>
              <w:top w:val="nil"/>
              <w:left w:val="nil"/>
              <w:bottom w:val="single" w:sz="8" w:space="0" w:color="auto"/>
              <w:right w:val="single" w:sz="8" w:space="0" w:color="auto"/>
            </w:tcBorders>
            <w:shd w:val="clear" w:color="auto" w:fill="auto"/>
            <w:vAlign w:val="center"/>
          </w:tcPr>
          <w:p w14:paraId="27157A63" w14:textId="77777777" w:rsidR="00447223" w:rsidRPr="00E13F47" w:rsidRDefault="00447223" w:rsidP="001220E7">
            <w:pPr>
              <w:jc w:val="center"/>
              <w:rPr>
                <w:rFonts w:ascii="Arial" w:eastAsia="Times New Roman" w:hAnsi="Arial" w:cs="Arial"/>
                <w:bCs/>
              </w:rPr>
            </w:pPr>
            <w:r w:rsidRPr="00E13F47">
              <w:rPr>
                <w:rFonts w:ascii="Arial" w:hAnsi="Arial" w:cs="Arial"/>
                <w:color w:val="000000"/>
              </w:rPr>
              <w:t>20.2%</w:t>
            </w:r>
          </w:p>
        </w:tc>
      </w:tr>
    </w:tbl>
    <w:p w14:paraId="103790AB" w14:textId="77777777" w:rsidR="001220E7" w:rsidRDefault="001220E7" w:rsidP="001220E7">
      <w:pPr>
        <w:jc w:val="both"/>
        <w:rPr>
          <w:rFonts w:ascii="Arial" w:eastAsia="Times New Roman" w:hAnsi="Arial" w:cs="Arial"/>
          <w:b/>
        </w:rPr>
      </w:pPr>
    </w:p>
    <w:p w14:paraId="6D8D3836" w14:textId="6F4E1084" w:rsidR="0071396F" w:rsidRPr="00243A7A" w:rsidRDefault="001220E7" w:rsidP="001220E7">
      <w:pPr>
        <w:spacing w:line="276" w:lineRule="auto"/>
        <w:jc w:val="center"/>
        <w:rPr>
          <w:rFonts w:ascii="Arial" w:eastAsia="Times New Roman" w:hAnsi="Arial" w:cs="Arial"/>
          <w:b/>
          <w:sz w:val="24"/>
          <w:szCs w:val="24"/>
        </w:rPr>
      </w:pPr>
      <w:r w:rsidRPr="00243A7A">
        <w:rPr>
          <w:rFonts w:ascii="Arial" w:eastAsia="Times New Roman" w:hAnsi="Arial" w:cs="Arial"/>
          <w:b/>
          <w:sz w:val="24"/>
          <w:szCs w:val="24"/>
        </w:rPr>
        <w:t xml:space="preserve">TABLE </w:t>
      </w:r>
      <w:r w:rsidR="00243A7A" w:rsidRPr="00243A7A">
        <w:rPr>
          <w:rFonts w:ascii="Arial" w:eastAsia="Times New Roman" w:hAnsi="Arial" w:cs="Arial"/>
          <w:b/>
          <w:sz w:val="24"/>
          <w:szCs w:val="24"/>
        </w:rPr>
        <w:t>E</w:t>
      </w:r>
    </w:p>
    <w:p w14:paraId="33467459" w14:textId="666C9B5B" w:rsidR="00A43229" w:rsidRPr="00243A7A" w:rsidRDefault="00A43229" w:rsidP="001220E7">
      <w:pPr>
        <w:spacing w:line="276" w:lineRule="auto"/>
        <w:jc w:val="center"/>
        <w:rPr>
          <w:rFonts w:ascii="Arial" w:eastAsia="Times New Roman" w:hAnsi="Arial" w:cs="Arial"/>
          <w:b/>
          <w:sz w:val="24"/>
          <w:szCs w:val="24"/>
        </w:rPr>
      </w:pPr>
      <w:r w:rsidRPr="00243A7A">
        <w:rPr>
          <w:rFonts w:ascii="Arial" w:eastAsia="Times New Roman" w:hAnsi="Arial" w:cs="Arial"/>
          <w:b/>
          <w:sz w:val="24"/>
          <w:szCs w:val="24"/>
        </w:rPr>
        <w:t>NON-COMPLIANT NSA TASKS</w:t>
      </w:r>
    </w:p>
    <w:p w14:paraId="6F90D4A9" w14:textId="77777777" w:rsidR="001220E7" w:rsidRPr="00A43229" w:rsidRDefault="001220E7" w:rsidP="001220E7">
      <w:pPr>
        <w:spacing w:line="276" w:lineRule="auto"/>
        <w:jc w:val="center"/>
        <w:rPr>
          <w:rFonts w:ascii="Arial" w:eastAsia="Times New Roman" w:hAnsi="Arial" w:cs="Arial"/>
          <w:b/>
          <w:sz w:val="28"/>
          <w:szCs w:val="28"/>
        </w:rPr>
      </w:pPr>
    </w:p>
    <w:tbl>
      <w:tblPr>
        <w:tblStyle w:val="TableGrid"/>
        <w:tblW w:w="10255" w:type="dxa"/>
        <w:tblLook w:val="04A0" w:firstRow="1" w:lastRow="0" w:firstColumn="1" w:lastColumn="0" w:noHBand="0" w:noVBand="1"/>
      </w:tblPr>
      <w:tblGrid>
        <w:gridCol w:w="10255"/>
      </w:tblGrid>
      <w:tr w:rsidR="00A43229" w14:paraId="62FA11C7" w14:textId="77777777" w:rsidTr="00F104B9">
        <w:tc>
          <w:tcPr>
            <w:tcW w:w="10255" w:type="dxa"/>
            <w:shd w:val="clear" w:color="auto" w:fill="F2F2F2" w:themeFill="background1" w:themeFillShade="F2"/>
          </w:tcPr>
          <w:p w14:paraId="0956D36F" w14:textId="5AD00870" w:rsidR="00A43229" w:rsidRDefault="00A43229" w:rsidP="00724B30">
            <w:pPr>
              <w:widowControl w:val="0"/>
              <w:spacing w:line="276" w:lineRule="auto"/>
              <w:rPr>
                <w:b/>
                <w:bCs/>
                <w:kern w:val="24"/>
              </w:rPr>
            </w:pPr>
            <w:r>
              <w:rPr>
                <w:b/>
                <w:bCs/>
                <w:kern w:val="24"/>
              </w:rPr>
              <w:t>PARTIAL COMPLIANCE</w:t>
            </w:r>
          </w:p>
        </w:tc>
      </w:tr>
      <w:tr w:rsidR="00A43229" w14:paraId="56B63437" w14:textId="77777777" w:rsidTr="00A43229">
        <w:tc>
          <w:tcPr>
            <w:tcW w:w="10255" w:type="dxa"/>
          </w:tcPr>
          <w:p w14:paraId="2E88F1EF" w14:textId="77777777" w:rsidR="00A43229" w:rsidRDefault="00A43229" w:rsidP="00A43229">
            <w:pPr>
              <w:widowControl w:val="0"/>
              <w:spacing w:line="276" w:lineRule="auto"/>
            </w:pPr>
            <w:r>
              <w:rPr>
                <w:b/>
                <w:bCs/>
                <w:kern w:val="24"/>
              </w:rPr>
              <w:t xml:space="preserve">Task 24 </w:t>
            </w:r>
            <w:r>
              <w:rPr>
                <w:kern w:val="24"/>
              </w:rPr>
              <w:t>– OPD’s Office of Inspector General and the IMT identified underreporting of Level 4 Uses of Force. Upon discovery of reporting policy issues, OPD immediately changed training and policy to properly document force. New Use of Force Reporting Policy is slated to be published following the Oakland Police Commission approval. In 2019, OPD has seen a corrective spike in Use of Force Reporting.</w:t>
            </w:r>
            <w:r>
              <w:t> </w:t>
            </w:r>
          </w:p>
        </w:tc>
      </w:tr>
      <w:tr w:rsidR="00A43229" w14:paraId="7B2DBC60" w14:textId="77777777" w:rsidTr="00A43229">
        <w:tc>
          <w:tcPr>
            <w:tcW w:w="10255" w:type="dxa"/>
          </w:tcPr>
          <w:p w14:paraId="26FE0C61" w14:textId="77777777" w:rsidR="00A43229" w:rsidRPr="00CE3025" w:rsidRDefault="00A43229" w:rsidP="00724B30">
            <w:pPr>
              <w:widowControl w:val="0"/>
              <w:spacing w:line="276" w:lineRule="auto"/>
            </w:pPr>
            <w:r>
              <w:rPr>
                <w:b/>
                <w:bCs/>
                <w:kern w:val="24"/>
              </w:rPr>
              <w:t xml:space="preserve">Task 25 </w:t>
            </w:r>
            <w:r>
              <w:rPr>
                <w:kern w:val="24"/>
              </w:rPr>
              <w:t>– In both OIG and IMT audit reports of Use of Force reporting, no incident was found to be an excessive use of force. Several reporting recommendations made by OPD OIG audit has already been implemented.</w:t>
            </w:r>
          </w:p>
        </w:tc>
      </w:tr>
      <w:tr w:rsidR="00A43229" w14:paraId="44D673AA" w14:textId="77777777" w:rsidTr="00A43229">
        <w:tc>
          <w:tcPr>
            <w:tcW w:w="10255" w:type="dxa"/>
          </w:tcPr>
          <w:p w14:paraId="24A0B898" w14:textId="77777777" w:rsidR="00A43229" w:rsidRPr="00CE3025" w:rsidRDefault="00A43229" w:rsidP="00724B30">
            <w:pPr>
              <w:widowControl w:val="0"/>
              <w:spacing w:line="276" w:lineRule="auto"/>
            </w:pPr>
            <w:r>
              <w:rPr>
                <w:b/>
                <w:bCs/>
                <w:kern w:val="24"/>
              </w:rPr>
              <w:t xml:space="preserve">Task 34 </w:t>
            </w:r>
            <w:r>
              <w:rPr>
                <w:kern w:val="24"/>
              </w:rPr>
              <w:t>- All stop data elements are captured in conjunction with this task and the new DOJ mandates. The department is 100% trained in Procedural Justice I and II and will begin part III in early Spring 2020 with community member instructors. Risk Management Dashboards will be released in early 2020 providing a tool for supervisors to measure stop data and other risk factors.</w:t>
            </w:r>
          </w:p>
        </w:tc>
      </w:tr>
      <w:tr w:rsidR="00A43229" w14:paraId="52FCE486" w14:textId="77777777" w:rsidTr="00A43229">
        <w:tc>
          <w:tcPr>
            <w:tcW w:w="10255" w:type="dxa"/>
          </w:tcPr>
          <w:p w14:paraId="72200F6E" w14:textId="77777777" w:rsidR="00A43229" w:rsidRPr="00CE3025" w:rsidRDefault="00A43229" w:rsidP="00724B30">
            <w:pPr>
              <w:widowControl w:val="0"/>
              <w:spacing w:line="276" w:lineRule="auto"/>
            </w:pPr>
            <w:r>
              <w:rPr>
                <w:b/>
                <w:bCs/>
                <w:kern w:val="24"/>
              </w:rPr>
              <w:t xml:space="preserve">Task 45 </w:t>
            </w:r>
            <w:r>
              <w:rPr>
                <w:kern w:val="24"/>
              </w:rPr>
              <w:t>– Since December 2014, OPD has been partial compliance with Consistency of Discipline. OPD has implemented Court Appointed Investigator’s recommendations on improving OPD Disciplinary Processes. Since January 2015, the IMT has reviewed 365 disciplinary cases, 45 Skelly hearings and 4 arbitration findings. The IMT found no cases out of compliance related to Consistency of Discipline.</w:t>
            </w:r>
          </w:p>
        </w:tc>
      </w:tr>
      <w:tr w:rsidR="00A43229" w14:paraId="52487A3F" w14:textId="77777777" w:rsidTr="00F104B9">
        <w:tc>
          <w:tcPr>
            <w:tcW w:w="10255" w:type="dxa"/>
            <w:shd w:val="clear" w:color="auto" w:fill="F2F2F2" w:themeFill="background1" w:themeFillShade="F2"/>
          </w:tcPr>
          <w:p w14:paraId="4AD7C25E" w14:textId="77777777" w:rsidR="00A43229" w:rsidRDefault="00A43229" w:rsidP="00724B30">
            <w:pPr>
              <w:widowControl w:val="0"/>
              <w:spacing w:line="276" w:lineRule="auto"/>
              <w:rPr>
                <w:b/>
                <w:bCs/>
                <w:kern w:val="24"/>
              </w:rPr>
            </w:pPr>
            <w:r>
              <w:rPr>
                <w:b/>
                <w:bCs/>
                <w:kern w:val="24"/>
              </w:rPr>
              <w:t>OUT OF COMPLIANCE</w:t>
            </w:r>
          </w:p>
        </w:tc>
      </w:tr>
      <w:tr w:rsidR="00A43229" w14:paraId="65624FCA" w14:textId="77777777" w:rsidTr="00A43229">
        <w:tc>
          <w:tcPr>
            <w:tcW w:w="10255" w:type="dxa"/>
          </w:tcPr>
          <w:p w14:paraId="4186A485" w14:textId="186D20F8" w:rsidR="00A43229" w:rsidRPr="00CE3025" w:rsidRDefault="00A43229" w:rsidP="00724B30">
            <w:pPr>
              <w:widowControl w:val="0"/>
              <w:spacing w:line="276" w:lineRule="auto"/>
            </w:pPr>
            <w:r>
              <w:rPr>
                <w:b/>
                <w:bCs/>
                <w:kern w:val="24"/>
              </w:rPr>
              <w:t xml:space="preserve">Task 2 </w:t>
            </w:r>
            <w:r>
              <w:rPr>
                <w:kern w:val="24"/>
              </w:rPr>
              <w:t xml:space="preserve">– In the 62nd IMT report, Task 2 was deemed out of compliance for the number of IAD cases not completed within 180 days.  In July 2019, additional staffing was added to IAD and the backlog of IAD cases has been resolved. OPD expects to be back in compliance </w:t>
            </w:r>
            <w:r w:rsidR="007F06DF">
              <w:rPr>
                <w:kern w:val="24"/>
              </w:rPr>
              <w:t xml:space="preserve">in early 2020 </w:t>
            </w:r>
            <w:r>
              <w:rPr>
                <w:kern w:val="24"/>
              </w:rPr>
              <w:t>with Task 2</w:t>
            </w:r>
            <w:r w:rsidR="00DA63D6">
              <w:rPr>
                <w:kern w:val="24"/>
              </w:rPr>
              <w:t xml:space="preserve">, completing </w:t>
            </w:r>
            <w:r>
              <w:rPr>
                <w:kern w:val="24"/>
              </w:rPr>
              <w:t>90-100% IAD cases within 180 days.</w:t>
            </w:r>
          </w:p>
        </w:tc>
      </w:tr>
      <w:tr w:rsidR="00A43229" w14:paraId="048E3053" w14:textId="77777777" w:rsidTr="00A43229">
        <w:tc>
          <w:tcPr>
            <w:tcW w:w="10255" w:type="dxa"/>
          </w:tcPr>
          <w:p w14:paraId="079BF18C" w14:textId="300CFD92" w:rsidR="00A43229" w:rsidRPr="00CE3025" w:rsidRDefault="00A43229" w:rsidP="00724B30">
            <w:pPr>
              <w:widowControl w:val="0"/>
              <w:spacing w:line="276" w:lineRule="auto"/>
            </w:pPr>
            <w:r>
              <w:rPr>
                <w:b/>
                <w:bCs/>
                <w:kern w:val="24"/>
              </w:rPr>
              <w:t xml:space="preserve">Task 5 </w:t>
            </w:r>
            <w:r>
              <w:rPr>
                <w:kern w:val="24"/>
              </w:rPr>
              <w:t>– On March 23, 2016, the Court placed Task 5 out of compliance for IAD Case 15-0771</w:t>
            </w:r>
            <w:r w:rsidR="0006683C">
              <w:rPr>
                <w:kern w:val="24"/>
              </w:rPr>
              <w:t xml:space="preserve"> (sex scandal involving a juvenile</w:t>
            </w:r>
            <w:r>
              <w:rPr>
                <w:kern w:val="24"/>
              </w:rPr>
              <w:t>.</w:t>
            </w:r>
            <w:r w:rsidR="0006683C">
              <w:rPr>
                <w:kern w:val="24"/>
              </w:rPr>
              <w:t>)</w:t>
            </w:r>
            <w:r>
              <w:rPr>
                <w:kern w:val="24"/>
              </w:rPr>
              <w:t xml:space="preserve"> In June 2017, Court Investigator Swanson’s report recommended nine (9) OPD internal improvements following the investigative completion of 15-0771. In September 2018, all nine recommendations were completed and reported to the court.  Since April 2010, OPD has held a 90% IAD Case compliance rate (797cases of 876 cases audited by the IMT). OPD aims to continue its IAD case compliance and evolve from the mistakes noted by the Swanson report. </w:t>
            </w:r>
          </w:p>
        </w:tc>
      </w:tr>
      <w:tr w:rsidR="00A43229" w14:paraId="0C0AD379" w14:textId="77777777" w:rsidTr="00A43229">
        <w:tc>
          <w:tcPr>
            <w:tcW w:w="10255" w:type="dxa"/>
          </w:tcPr>
          <w:p w14:paraId="5DE096EC" w14:textId="77777777" w:rsidR="00A43229" w:rsidRPr="00CE3025" w:rsidRDefault="00A43229" w:rsidP="00724B30">
            <w:pPr>
              <w:widowControl w:val="0"/>
              <w:spacing w:line="276" w:lineRule="auto"/>
            </w:pPr>
            <w:r>
              <w:rPr>
                <w:b/>
                <w:bCs/>
                <w:kern w:val="24"/>
              </w:rPr>
              <w:t xml:space="preserve">Task 30 </w:t>
            </w:r>
            <w:r>
              <w:rPr>
                <w:kern w:val="24"/>
              </w:rPr>
              <w:t>– After OPD created the Force Investigation Team in April 2013, OPD has held 23 Executive Force Review Boards with only one case (Pawlik shooting) deemed out of compliance by the IMT. OPD is focused on IAD and CID processes to attain compliance with the next EFRB.</w:t>
            </w:r>
          </w:p>
        </w:tc>
      </w:tr>
    </w:tbl>
    <w:p w14:paraId="141FF4DA" w14:textId="77777777" w:rsidR="000E7CC9" w:rsidRPr="00E13F47" w:rsidRDefault="000E7CC9" w:rsidP="00D36108">
      <w:pPr>
        <w:spacing w:after="200" w:line="276" w:lineRule="auto"/>
        <w:jc w:val="both"/>
        <w:rPr>
          <w:rFonts w:ascii="Arial" w:eastAsia="Times New Roman" w:hAnsi="Arial" w:cs="Arial"/>
          <w:b/>
        </w:rPr>
      </w:pPr>
    </w:p>
    <w:sectPr w:rsidR="000E7CC9" w:rsidRPr="00E13F47" w:rsidSect="00D36108">
      <w:headerReference w:type="even" r:id="rId32"/>
      <w:headerReference w:type="default" r:id="rId33"/>
      <w:footerReference w:type="even" r:id="rId34"/>
      <w:footerReference w:type="default" r:id="rId35"/>
      <w:headerReference w:type="first" r:id="rId36"/>
      <w:footerReference w:type="first" r:id="rId3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B4C41" w14:textId="77777777" w:rsidR="004F3072" w:rsidRDefault="004F3072" w:rsidP="00B44489">
      <w:r>
        <w:separator/>
      </w:r>
    </w:p>
  </w:endnote>
  <w:endnote w:type="continuationSeparator" w:id="0">
    <w:p w14:paraId="7D27AA41" w14:textId="77777777" w:rsidR="004F3072" w:rsidRDefault="004F3072" w:rsidP="00B4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0C513" w14:textId="77777777" w:rsidR="00724B30" w:rsidRDefault="00724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38363"/>
      <w:docPartObj>
        <w:docPartGallery w:val="Page Numbers (Bottom of Page)"/>
        <w:docPartUnique/>
      </w:docPartObj>
    </w:sdtPr>
    <w:sdtEndPr>
      <w:rPr>
        <w:noProof/>
      </w:rPr>
    </w:sdtEndPr>
    <w:sdtContent>
      <w:p w14:paraId="78C97D7B" w14:textId="77777777" w:rsidR="00724B30" w:rsidRDefault="00724B3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4DFD470" w14:textId="77777777" w:rsidR="00724B30" w:rsidRDefault="00724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58154" w14:textId="77777777" w:rsidR="00724B30" w:rsidRDefault="00724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8FD50" w14:textId="77777777" w:rsidR="004F3072" w:rsidRDefault="004F3072" w:rsidP="00B44489">
      <w:r>
        <w:separator/>
      </w:r>
    </w:p>
  </w:footnote>
  <w:footnote w:type="continuationSeparator" w:id="0">
    <w:p w14:paraId="6435428D" w14:textId="77777777" w:rsidR="004F3072" w:rsidRDefault="004F3072" w:rsidP="00B44489">
      <w:r>
        <w:continuationSeparator/>
      </w:r>
    </w:p>
  </w:footnote>
  <w:footnote w:id="1">
    <w:p w14:paraId="43C67CB2" w14:textId="42C00B39" w:rsidR="00724B30" w:rsidRDefault="00724B30">
      <w:pPr>
        <w:pStyle w:val="FootnoteText"/>
      </w:pPr>
      <w:r>
        <w:rPr>
          <w:rStyle w:val="FootnoteReference"/>
        </w:rPr>
        <w:footnoteRef/>
      </w:r>
      <w:r>
        <w:t xml:space="preserve"> A single complaint may contain multiple allegations of misconduct. </w:t>
      </w:r>
    </w:p>
  </w:footnote>
  <w:footnote w:id="2">
    <w:p w14:paraId="0717D587" w14:textId="7A3A14C6" w:rsidR="00724B30" w:rsidRPr="001C328D" w:rsidRDefault="00724B30" w:rsidP="00653325">
      <w:pPr>
        <w:pStyle w:val="NormalWeb"/>
        <w:spacing w:before="2" w:after="2"/>
        <w:jc w:val="both"/>
        <w:rPr>
          <w:rFonts w:ascii="Arial" w:hAnsi="Arial" w:cs="Arial"/>
        </w:rPr>
      </w:pPr>
      <w:r w:rsidRPr="001C328D">
        <w:rPr>
          <w:rStyle w:val="FootnoteReference"/>
        </w:rPr>
        <w:footnoteRef/>
      </w:r>
      <w:r w:rsidRPr="001C328D">
        <w:t xml:space="preserve"> </w:t>
      </w:r>
      <w:r w:rsidRPr="001C328D">
        <w:rPr>
          <w:rFonts w:ascii="Arial" w:eastAsia="Times New Roman" w:hAnsi="Arial" w:cs="Arial"/>
        </w:rPr>
        <w:t xml:space="preserve">A recent OIG audit of Level 4 UOF reporting found potential underreporting of the pointing of </w:t>
      </w:r>
      <w:r>
        <w:rPr>
          <w:rFonts w:ascii="Arial" w:eastAsia="Times New Roman" w:hAnsi="Arial" w:cs="Arial"/>
        </w:rPr>
        <w:t xml:space="preserve">a firearm. </w:t>
      </w:r>
      <w:r w:rsidRPr="001C328D">
        <w:rPr>
          <w:rFonts w:ascii="Arial" w:eastAsia="Times New Roman" w:hAnsi="Arial" w:cs="Arial"/>
        </w:rPr>
        <w:t>The Chief directed refresher training on the reporting use of force in September 2018, and the number of Level 4 reported uses of force has increased significantly since then.</w:t>
      </w:r>
      <w:r w:rsidRPr="001C328D">
        <w:rPr>
          <w:rFonts w:ascii="Arial" w:hAnsi="Arial" w:cs="Arial"/>
        </w:rPr>
        <w:t>    </w:t>
      </w:r>
    </w:p>
    <w:p w14:paraId="10953E5A" w14:textId="4D2901F7" w:rsidR="00724B30" w:rsidRPr="001C328D" w:rsidRDefault="00724B30">
      <w:pPr>
        <w:pStyle w:val="FootnoteText"/>
      </w:pPr>
    </w:p>
  </w:footnote>
  <w:footnote w:id="3">
    <w:p w14:paraId="59219CB4" w14:textId="5AB3EDE4" w:rsidR="00724B30" w:rsidRPr="001C328D" w:rsidRDefault="00724B30" w:rsidP="00A9177D">
      <w:pPr>
        <w:shd w:val="clear" w:color="auto" w:fill="FFFFFF"/>
        <w:jc w:val="both"/>
        <w:rPr>
          <w:rFonts w:ascii="Arial" w:eastAsia="Times New Roman" w:hAnsi="Arial" w:cs="Arial"/>
          <w:bCs/>
          <w:sz w:val="20"/>
          <w:szCs w:val="20"/>
        </w:rPr>
      </w:pPr>
      <w:r w:rsidRPr="001C328D">
        <w:rPr>
          <w:rStyle w:val="FootnoteReference"/>
          <w:sz w:val="20"/>
          <w:szCs w:val="20"/>
        </w:rPr>
        <w:footnoteRef/>
      </w:r>
      <w:r w:rsidRPr="001C328D">
        <w:rPr>
          <w:sz w:val="20"/>
          <w:szCs w:val="20"/>
        </w:rPr>
        <w:t xml:space="preserve"> </w:t>
      </w:r>
      <w:r>
        <w:rPr>
          <w:rFonts w:ascii="Arial" w:eastAsia="Times New Roman" w:hAnsi="Arial" w:cs="Arial"/>
          <w:bCs/>
          <w:sz w:val="20"/>
          <w:szCs w:val="20"/>
        </w:rPr>
        <w:t>By way of comparison, from</w:t>
      </w:r>
      <w:r w:rsidRPr="001C328D">
        <w:rPr>
          <w:rFonts w:ascii="Arial" w:eastAsia="Times New Roman" w:hAnsi="Arial" w:cs="Arial"/>
          <w:bCs/>
          <w:sz w:val="20"/>
          <w:szCs w:val="20"/>
        </w:rPr>
        <w:t xml:space="preserve"> January 1 to January 30 in the State of California 44 people were shot and killed by Police. </w:t>
      </w:r>
    </w:p>
    <w:p w14:paraId="4A67EA27" w14:textId="7023C7D4" w:rsidR="00724B30" w:rsidRPr="001C328D" w:rsidRDefault="00724B3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8B9D" w14:textId="77777777" w:rsidR="00724B30" w:rsidRDefault="00724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F404" w14:textId="67D236DB" w:rsidR="00724B30" w:rsidRDefault="00724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07E00" w14:textId="77777777" w:rsidR="00724B30" w:rsidRDefault="00724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CCF"/>
    <w:multiLevelType w:val="hybridMultilevel"/>
    <w:tmpl w:val="9D463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24E96"/>
    <w:multiLevelType w:val="hybridMultilevel"/>
    <w:tmpl w:val="39BE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91681"/>
    <w:multiLevelType w:val="hybridMultilevel"/>
    <w:tmpl w:val="677C74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338"/>
    <w:multiLevelType w:val="hybridMultilevel"/>
    <w:tmpl w:val="07140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525A8"/>
    <w:multiLevelType w:val="hybridMultilevel"/>
    <w:tmpl w:val="FE84B3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B5180"/>
    <w:multiLevelType w:val="hybridMultilevel"/>
    <w:tmpl w:val="D528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905CC"/>
    <w:multiLevelType w:val="hybridMultilevel"/>
    <w:tmpl w:val="373C4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150DD"/>
    <w:multiLevelType w:val="hybridMultilevel"/>
    <w:tmpl w:val="D036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D321C"/>
    <w:multiLevelType w:val="hybridMultilevel"/>
    <w:tmpl w:val="4B8CA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E819D6"/>
    <w:multiLevelType w:val="hybridMultilevel"/>
    <w:tmpl w:val="D55EF67E"/>
    <w:lvl w:ilvl="0" w:tplc="04090001">
      <w:start w:val="1"/>
      <w:numFmt w:val="bullet"/>
      <w:lvlText w:val=""/>
      <w:lvlJc w:val="left"/>
      <w:pPr>
        <w:ind w:left="720" w:hanging="360"/>
      </w:pPr>
      <w:rPr>
        <w:rFonts w:ascii="Symbol" w:hAnsi="Symbol" w:hint="default"/>
      </w:rPr>
    </w:lvl>
    <w:lvl w:ilvl="1" w:tplc="F5DA4EAE">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04F83"/>
    <w:multiLevelType w:val="hybridMultilevel"/>
    <w:tmpl w:val="B06481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22116"/>
    <w:multiLevelType w:val="hybridMultilevel"/>
    <w:tmpl w:val="1A76AAE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24907D4"/>
    <w:multiLevelType w:val="hybridMultilevel"/>
    <w:tmpl w:val="188C1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915B3B"/>
    <w:multiLevelType w:val="hybridMultilevel"/>
    <w:tmpl w:val="7364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875D7"/>
    <w:multiLevelType w:val="hybridMultilevel"/>
    <w:tmpl w:val="2068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75C98"/>
    <w:multiLevelType w:val="hybridMultilevel"/>
    <w:tmpl w:val="029A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26886"/>
    <w:multiLevelType w:val="multilevel"/>
    <w:tmpl w:val="42BE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631F0"/>
    <w:multiLevelType w:val="hybridMultilevel"/>
    <w:tmpl w:val="0CA0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73D3B"/>
    <w:multiLevelType w:val="multilevel"/>
    <w:tmpl w:val="9404D9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BCC4A39"/>
    <w:multiLevelType w:val="hybridMultilevel"/>
    <w:tmpl w:val="CCA6834E"/>
    <w:lvl w:ilvl="0" w:tplc="383847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C1014"/>
    <w:multiLevelType w:val="multilevel"/>
    <w:tmpl w:val="0D7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A3829"/>
    <w:multiLevelType w:val="hybridMultilevel"/>
    <w:tmpl w:val="966C1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D47E9"/>
    <w:multiLevelType w:val="hybridMultilevel"/>
    <w:tmpl w:val="ECFE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A349F"/>
    <w:multiLevelType w:val="hybridMultilevel"/>
    <w:tmpl w:val="E4CA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276AD"/>
    <w:multiLevelType w:val="multilevel"/>
    <w:tmpl w:val="21E0F1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EB52CF0"/>
    <w:multiLevelType w:val="hybridMultilevel"/>
    <w:tmpl w:val="57F0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E4392"/>
    <w:multiLevelType w:val="multilevel"/>
    <w:tmpl w:val="0E98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80367"/>
    <w:multiLevelType w:val="hybridMultilevel"/>
    <w:tmpl w:val="5BEE53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B383341"/>
    <w:multiLevelType w:val="hybridMultilevel"/>
    <w:tmpl w:val="FBF4817A"/>
    <w:lvl w:ilvl="0" w:tplc="04090001">
      <w:start w:val="1"/>
      <w:numFmt w:val="bullet"/>
      <w:lvlText w:val=""/>
      <w:lvlJc w:val="left"/>
      <w:pPr>
        <w:ind w:left="-110" w:hanging="360"/>
      </w:pPr>
      <w:rPr>
        <w:rFonts w:ascii="Symbol" w:hAnsi="Symbol" w:hint="default"/>
      </w:rPr>
    </w:lvl>
    <w:lvl w:ilvl="1" w:tplc="04090003" w:tentative="1">
      <w:start w:val="1"/>
      <w:numFmt w:val="bullet"/>
      <w:lvlText w:val="o"/>
      <w:lvlJc w:val="left"/>
      <w:pPr>
        <w:ind w:left="610" w:hanging="360"/>
      </w:pPr>
      <w:rPr>
        <w:rFonts w:ascii="Courier New" w:hAnsi="Courier New" w:cs="Courier New" w:hint="default"/>
      </w:rPr>
    </w:lvl>
    <w:lvl w:ilvl="2" w:tplc="04090005" w:tentative="1">
      <w:start w:val="1"/>
      <w:numFmt w:val="bullet"/>
      <w:lvlText w:val=""/>
      <w:lvlJc w:val="left"/>
      <w:pPr>
        <w:ind w:left="1330" w:hanging="360"/>
      </w:pPr>
      <w:rPr>
        <w:rFonts w:ascii="Wingdings" w:hAnsi="Wingdings" w:hint="default"/>
      </w:rPr>
    </w:lvl>
    <w:lvl w:ilvl="3" w:tplc="04090001" w:tentative="1">
      <w:start w:val="1"/>
      <w:numFmt w:val="bullet"/>
      <w:lvlText w:val=""/>
      <w:lvlJc w:val="left"/>
      <w:pPr>
        <w:ind w:left="2050" w:hanging="360"/>
      </w:pPr>
      <w:rPr>
        <w:rFonts w:ascii="Symbol" w:hAnsi="Symbol" w:hint="default"/>
      </w:rPr>
    </w:lvl>
    <w:lvl w:ilvl="4" w:tplc="04090003" w:tentative="1">
      <w:start w:val="1"/>
      <w:numFmt w:val="bullet"/>
      <w:lvlText w:val="o"/>
      <w:lvlJc w:val="left"/>
      <w:pPr>
        <w:ind w:left="2770" w:hanging="360"/>
      </w:pPr>
      <w:rPr>
        <w:rFonts w:ascii="Courier New" w:hAnsi="Courier New" w:cs="Courier New" w:hint="default"/>
      </w:rPr>
    </w:lvl>
    <w:lvl w:ilvl="5" w:tplc="04090005" w:tentative="1">
      <w:start w:val="1"/>
      <w:numFmt w:val="bullet"/>
      <w:lvlText w:val=""/>
      <w:lvlJc w:val="left"/>
      <w:pPr>
        <w:ind w:left="3490" w:hanging="360"/>
      </w:pPr>
      <w:rPr>
        <w:rFonts w:ascii="Wingdings" w:hAnsi="Wingdings" w:hint="default"/>
      </w:rPr>
    </w:lvl>
    <w:lvl w:ilvl="6" w:tplc="04090001" w:tentative="1">
      <w:start w:val="1"/>
      <w:numFmt w:val="bullet"/>
      <w:lvlText w:val=""/>
      <w:lvlJc w:val="left"/>
      <w:pPr>
        <w:ind w:left="4210" w:hanging="360"/>
      </w:pPr>
      <w:rPr>
        <w:rFonts w:ascii="Symbol" w:hAnsi="Symbol" w:hint="default"/>
      </w:rPr>
    </w:lvl>
    <w:lvl w:ilvl="7" w:tplc="04090003" w:tentative="1">
      <w:start w:val="1"/>
      <w:numFmt w:val="bullet"/>
      <w:lvlText w:val="o"/>
      <w:lvlJc w:val="left"/>
      <w:pPr>
        <w:ind w:left="4930" w:hanging="360"/>
      </w:pPr>
      <w:rPr>
        <w:rFonts w:ascii="Courier New" w:hAnsi="Courier New" w:cs="Courier New" w:hint="default"/>
      </w:rPr>
    </w:lvl>
    <w:lvl w:ilvl="8" w:tplc="04090005" w:tentative="1">
      <w:start w:val="1"/>
      <w:numFmt w:val="bullet"/>
      <w:lvlText w:val=""/>
      <w:lvlJc w:val="left"/>
      <w:pPr>
        <w:ind w:left="5650" w:hanging="360"/>
      </w:pPr>
      <w:rPr>
        <w:rFonts w:ascii="Wingdings" w:hAnsi="Wingdings" w:hint="default"/>
      </w:rPr>
    </w:lvl>
  </w:abstractNum>
  <w:abstractNum w:abstractNumId="29" w15:restartNumberingAfterBreak="0">
    <w:nsid w:val="5C283A73"/>
    <w:multiLevelType w:val="hybridMultilevel"/>
    <w:tmpl w:val="269E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358FE"/>
    <w:multiLevelType w:val="hybridMultilevel"/>
    <w:tmpl w:val="C452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B4F19"/>
    <w:multiLevelType w:val="hybridMultilevel"/>
    <w:tmpl w:val="A0FA2C1A"/>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15366"/>
    <w:multiLevelType w:val="hybridMultilevel"/>
    <w:tmpl w:val="7692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058BD"/>
    <w:multiLevelType w:val="hybridMultilevel"/>
    <w:tmpl w:val="05D2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28E9"/>
    <w:multiLevelType w:val="multilevel"/>
    <w:tmpl w:val="4BAC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DF2CDD"/>
    <w:multiLevelType w:val="hybridMultilevel"/>
    <w:tmpl w:val="E02EF8DC"/>
    <w:lvl w:ilvl="0" w:tplc="5E8EE81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032E4"/>
    <w:multiLevelType w:val="hybridMultilevel"/>
    <w:tmpl w:val="E3582C6C"/>
    <w:lvl w:ilvl="0" w:tplc="0409000D">
      <w:start w:val="1"/>
      <w:numFmt w:val="bullet"/>
      <w:lvlText w:val=""/>
      <w:lvlJc w:val="left"/>
      <w:pPr>
        <w:ind w:left="720" w:hanging="360"/>
      </w:pPr>
      <w:rPr>
        <w:rFonts w:ascii="Wingdings" w:hAnsi="Wingdings" w:hint="default"/>
      </w:rPr>
    </w:lvl>
    <w:lvl w:ilvl="1" w:tplc="9648C06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F3A30"/>
    <w:multiLevelType w:val="hybridMultilevel"/>
    <w:tmpl w:val="07386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8369FB"/>
    <w:multiLevelType w:val="hybridMultilevel"/>
    <w:tmpl w:val="16AA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E5282"/>
    <w:multiLevelType w:val="hybridMultilevel"/>
    <w:tmpl w:val="4FBA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330BC"/>
    <w:multiLevelType w:val="hybridMultilevel"/>
    <w:tmpl w:val="D6D0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77DD5"/>
    <w:multiLevelType w:val="hybridMultilevel"/>
    <w:tmpl w:val="4850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340A9"/>
    <w:multiLevelType w:val="hybridMultilevel"/>
    <w:tmpl w:val="B21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343DB"/>
    <w:multiLevelType w:val="multilevel"/>
    <w:tmpl w:val="FBF6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CD3E78"/>
    <w:multiLevelType w:val="multilevel"/>
    <w:tmpl w:val="8FCE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C38EB"/>
    <w:multiLevelType w:val="hybridMultilevel"/>
    <w:tmpl w:val="1944A562"/>
    <w:lvl w:ilvl="0" w:tplc="383847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5"/>
  </w:num>
  <w:num w:numId="4">
    <w:abstractNumId w:val="8"/>
  </w:num>
  <w:num w:numId="5">
    <w:abstractNumId w:val="40"/>
  </w:num>
  <w:num w:numId="6">
    <w:abstractNumId w:val="13"/>
  </w:num>
  <w:num w:numId="7">
    <w:abstractNumId w:val="38"/>
  </w:num>
  <w:num w:numId="8">
    <w:abstractNumId w:val="4"/>
  </w:num>
  <w:num w:numId="9">
    <w:abstractNumId w:val="6"/>
  </w:num>
  <w:num w:numId="10">
    <w:abstractNumId w:val="16"/>
  </w:num>
  <w:num w:numId="11">
    <w:abstractNumId w:val="43"/>
  </w:num>
  <w:num w:numId="12">
    <w:abstractNumId w:val="20"/>
  </w:num>
  <w:num w:numId="13">
    <w:abstractNumId w:val="36"/>
  </w:num>
  <w:num w:numId="14">
    <w:abstractNumId w:val="44"/>
  </w:num>
  <w:num w:numId="15">
    <w:abstractNumId w:val="24"/>
  </w:num>
  <w:num w:numId="16">
    <w:abstractNumId w:val="34"/>
  </w:num>
  <w:num w:numId="17">
    <w:abstractNumId w:val="18"/>
  </w:num>
  <w:num w:numId="18">
    <w:abstractNumId w:val="26"/>
  </w:num>
  <w:num w:numId="19">
    <w:abstractNumId w:val="41"/>
  </w:num>
  <w:num w:numId="20">
    <w:abstractNumId w:val="19"/>
  </w:num>
  <w:num w:numId="21">
    <w:abstractNumId w:val="33"/>
  </w:num>
  <w:num w:numId="22">
    <w:abstractNumId w:val="30"/>
  </w:num>
  <w:num w:numId="23">
    <w:abstractNumId w:val="21"/>
  </w:num>
  <w:num w:numId="24">
    <w:abstractNumId w:val="2"/>
  </w:num>
  <w:num w:numId="25">
    <w:abstractNumId w:val="45"/>
  </w:num>
  <w:num w:numId="26">
    <w:abstractNumId w:val="17"/>
  </w:num>
  <w:num w:numId="27">
    <w:abstractNumId w:val="12"/>
  </w:num>
  <w:num w:numId="28">
    <w:abstractNumId w:val="29"/>
  </w:num>
  <w:num w:numId="29">
    <w:abstractNumId w:val="14"/>
  </w:num>
  <w:num w:numId="30">
    <w:abstractNumId w:val="31"/>
  </w:num>
  <w:num w:numId="31">
    <w:abstractNumId w:val="10"/>
  </w:num>
  <w:num w:numId="32">
    <w:abstractNumId w:val="37"/>
  </w:num>
  <w:num w:numId="33">
    <w:abstractNumId w:val="3"/>
  </w:num>
  <w:num w:numId="34">
    <w:abstractNumId w:val="22"/>
  </w:num>
  <w:num w:numId="35">
    <w:abstractNumId w:val="27"/>
  </w:num>
  <w:num w:numId="36">
    <w:abstractNumId w:val="28"/>
  </w:num>
  <w:num w:numId="37">
    <w:abstractNumId w:val="42"/>
  </w:num>
  <w:num w:numId="38">
    <w:abstractNumId w:val="7"/>
  </w:num>
  <w:num w:numId="39">
    <w:abstractNumId w:val="5"/>
  </w:num>
  <w:num w:numId="40">
    <w:abstractNumId w:val="11"/>
  </w:num>
  <w:num w:numId="41">
    <w:abstractNumId w:val="0"/>
  </w:num>
  <w:num w:numId="42">
    <w:abstractNumId w:val="25"/>
  </w:num>
  <w:num w:numId="43">
    <w:abstractNumId w:val="23"/>
  </w:num>
  <w:num w:numId="44">
    <w:abstractNumId w:val="32"/>
  </w:num>
  <w:num w:numId="45">
    <w:abstractNumId w:val="3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E1"/>
    <w:rsid w:val="000006DF"/>
    <w:rsid w:val="00000BA8"/>
    <w:rsid w:val="00001232"/>
    <w:rsid w:val="000014CE"/>
    <w:rsid w:val="00001A2E"/>
    <w:rsid w:val="00002007"/>
    <w:rsid w:val="00006A85"/>
    <w:rsid w:val="000110ED"/>
    <w:rsid w:val="000155A5"/>
    <w:rsid w:val="00015B45"/>
    <w:rsid w:val="00015ECC"/>
    <w:rsid w:val="00020629"/>
    <w:rsid w:val="00020F40"/>
    <w:rsid w:val="0002174B"/>
    <w:rsid w:val="00023B1D"/>
    <w:rsid w:val="000242E0"/>
    <w:rsid w:val="00024792"/>
    <w:rsid w:val="00024D97"/>
    <w:rsid w:val="0002533A"/>
    <w:rsid w:val="0002561F"/>
    <w:rsid w:val="00025B17"/>
    <w:rsid w:val="00026353"/>
    <w:rsid w:val="00026F8D"/>
    <w:rsid w:val="000276A0"/>
    <w:rsid w:val="00033259"/>
    <w:rsid w:val="00033993"/>
    <w:rsid w:val="00035C43"/>
    <w:rsid w:val="00036169"/>
    <w:rsid w:val="000407A0"/>
    <w:rsid w:val="00040B8B"/>
    <w:rsid w:val="00040BB4"/>
    <w:rsid w:val="00042DD6"/>
    <w:rsid w:val="00043527"/>
    <w:rsid w:val="0004361D"/>
    <w:rsid w:val="000445F7"/>
    <w:rsid w:val="00045C96"/>
    <w:rsid w:val="000464B3"/>
    <w:rsid w:val="00046CAC"/>
    <w:rsid w:val="00047F4E"/>
    <w:rsid w:val="00051929"/>
    <w:rsid w:val="00053D37"/>
    <w:rsid w:val="00054951"/>
    <w:rsid w:val="00055848"/>
    <w:rsid w:val="00055BED"/>
    <w:rsid w:val="00063CB6"/>
    <w:rsid w:val="00064DAE"/>
    <w:rsid w:val="00065F79"/>
    <w:rsid w:val="0006683C"/>
    <w:rsid w:val="00067B46"/>
    <w:rsid w:val="00070262"/>
    <w:rsid w:val="00070BE9"/>
    <w:rsid w:val="00071CC0"/>
    <w:rsid w:val="00071E0E"/>
    <w:rsid w:val="00072840"/>
    <w:rsid w:val="00073858"/>
    <w:rsid w:val="00075696"/>
    <w:rsid w:val="000762B6"/>
    <w:rsid w:val="000802B3"/>
    <w:rsid w:val="00083306"/>
    <w:rsid w:val="00085036"/>
    <w:rsid w:val="000862F5"/>
    <w:rsid w:val="00086748"/>
    <w:rsid w:val="00087DE1"/>
    <w:rsid w:val="00094084"/>
    <w:rsid w:val="0009430E"/>
    <w:rsid w:val="00096B33"/>
    <w:rsid w:val="000A087A"/>
    <w:rsid w:val="000A1564"/>
    <w:rsid w:val="000A2B51"/>
    <w:rsid w:val="000A4B34"/>
    <w:rsid w:val="000A5107"/>
    <w:rsid w:val="000B0107"/>
    <w:rsid w:val="000B05D9"/>
    <w:rsid w:val="000B2AED"/>
    <w:rsid w:val="000B32DD"/>
    <w:rsid w:val="000B5A24"/>
    <w:rsid w:val="000B66A9"/>
    <w:rsid w:val="000C079F"/>
    <w:rsid w:val="000C125D"/>
    <w:rsid w:val="000C147E"/>
    <w:rsid w:val="000C2654"/>
    <w:rsid w:val="000C2F9E"/>
    <w:rsid w:val="000C40D2"/>
    <w:rsid w:val="000C6439"/>
    <w:rsid w:val="000D1D52"/>
    <w:rsid w:val="000D32D0"/>
    <w:rsid w:val="000D40A0"/>
    <w:rsid w:val="000D45DF"/>
    <w:rsid w:val="000D519A"/>
    <w:rsid w:val="000E2A73"/>
    <w:rsid w:val="000E2C02"/>
    <w:rsid w:val="000E32AF"/>
    <w:rsid w:val="000E3AB0"/>
    <w:rsid w:val="000E6679"/>
    <w:rsid w:val="000E6911"/>
    <w:rsid w:val="000E7CC9"/>
    <w:rsid w:val="000E7D6B"/>
    <w:rsid w:val="000F02DD"/>
    <w:rsid w:val="000F2169"/>
    <w:rsid w:val="000F4483"/>
    <w:rsid w:val="000F765E"/>
    <w:rsid w:val="00100298"/>
    <w:rsid w:val="00102AD7"/>
    <w:rsid w:val="0010369D"/>
    <w:rsid w:val="00104094"/>
    <w:rsid w:val="0010420F"/>
    <w:rsid w:val="00107316"/>
    <w:rsid w:val="00107800"/>
    <w:rsid w:val="00111D43"/>
    <w:rsid w:val="00114FB2"/>
    <w:rsid w:val="00115717"/>
    <w:rsid w:val="00116505"/>
    <w:rsid w:val="001200C6"/>
    <w:rsid w:val="0012072D"/>
    <w:rsid w:val="001220E7"/>
    <w:rsid w:val="00123968"/>
    <w:rsid w:val="0012784A"/>
    <w:rsid w:val="001278F3"/>
    <w:rsid w:val="0013019E"/>
    <w:rsid w:val="00133653"/>
    <w:rsid w:val="00135328"/>
    <w:rsid w:val="0013572C"/>
    <w:rsid w:val="0013660D"/>
    <w:rsid w:val="001374A8"/>
    <w:rsid w:val="00140B74"/>
    <w:rsid w:val="001438C2"/>
    <w:rsid w:val="00144FBB"/>
    <w:rsid w:val="001458E8"/>
    <w:rsid w:val="001476E6"/>
    <w:rsid w:val="00150342"/>
    <w:rsid w:val="00150753"/>
    <w:rsid w:val="001518BF"/>
    <w:rsid w:val="00151DDB"/>
    <w:rsid w:val="00154C99"/>
    <w:rsid w:val="001560FF"/>
    <w:rsid w:val="00157151"/>
    <w:rsid w:val="001571F2"/>
    <w:rsid w:val="001617CF"/>
    <w:rsid w:val="00162B05"/>
    <w:rsid w:val="00163A17"/>
    <w:rsid w:val="00164663"/>
    <w:rsid w:val="00165A61"/>
    <w:rsid w:val="00165C1A"/>
    <w:rsid w:val="00170D55"/>
    <w:rsid w:val="0017115E"/>
    <w:rsid w:val="0017124B"/>
    <w:rsid w:val="00173A29"/>
    <w:rsid w:val="0017425B"/>
    <w:rsid w:val="001749CE"/>
    <w:rsid w:val="00175F9B"/>
    <w:rsid w:val="00176265"/>
    <w:rsid w:val="00181F43"/>
    <w:rsid w:val="001878D2"/>
    <w:rsid w:val="001905F9"/>
    <w:rsid w:val="001A2883"/>
    <w:rsid w:val="001A67F6"/>
    <w:rsid w:val="001A6E6F"/>
    <w:rsid w:val="001B191E"/>
    <w:rsid w:val="001B50C6"/>
    <w:rsid w:val="001B61D0"/>
    <w:rsid w:val="001C2D58"/>
    <w:rsid w:val="001C328D"/>
    <w:rsid w:val="001C5253"/>
    <w:rsid w:val="001C5503"/>
    <w:rsid w:val="001D05F4"/>
    <w:rsid w:val="001D2AC8"/>
    <w:rsid w:val="001D40BB"/>
    <w:rsid w:val="001D63D1"/>
    <w:rsid w:val="001D74DE"/>
    <w:rsid w:val="001E1F55"/>
    <w:rsid w:val="001E37E1"/>
    <w:rsid w:val="001E3AF4"/>
    <w:rsid w:val="001E675B"/>
    <w:rsid w:val="001F14E8"/>
    <w:rsid w:val="001F1F45"/>
    <w:rsid w:val="001F1FFF"/>
    <w:rsid w:val="001F2289"/>
    <w:rsid w:val="001F3147"/>
    <w:rsid w:val="001F557B"/>
    <w:rsid w:val="001F6E3C"/>
    <w:rsid w:val="001F7310"/>
    <w:rsid w:val="001F7D08"/>
    <w:rsid w:val="00201124"/>
    <w:rsid w:val="002045CB"/>
    <w:rsid w:val="0020579A"/>
    <w:rsid w:val="00210568"/>
    <w:rsid w:val="00210753"/>
    <w:rsid w:val="00212558"/>
    <w:rsid w:val="002129AD"/>
    <w:rsid w:val="0021388C"/>
    <w:rsid w:val="00214DAE"/>
    <w:rsid w:val="00215270"/>
    <w:rsid w:val="002174BE"/>
    <w:rsid w:val="00221BFE"/>
    <w:rsid w:val="00223322"/>
    <w:rsid w:val="002237D2"/>
    <w:rsid w:val="00225A0A"/>
    <w:rsid w:val="00225E74"/>
    <w:rsid w:val="00226291"/>
    <w:rsid w:val="00231EE5"/>
    <w:rsid w:val="00233F8A"/>
    <w:rsid w:val="00234001"/>
    <w:rsid w:val="00234129"/>
    <w:rsid w:val="00234819"/>
    <w:rsid w:val="002369EA"/>
    <w:rsid w:val="0023732A"/>
    <w:rsid w:val="0023750B"/>
    <w:rsid w:val="00242DEF"/>
    <w:rsid w:val="00243922"/>
    <w:rsid w:val="00243A7A"/>
    <w:rsid w:val="00252F27"/>
    <w:rsid w:val="00256A6B"/>
    <w:rsid w:val="002612CD"/>
    <w:rsid w:val="00262E51"/>
    <w:rsid w:val="00264549"/>
    <w:rsid w:val="00265C5C"/>
    <w:rsid w:val="00265EBE"/>
    <w:rsid w:val="002705B9"/>
    <w:rsid w:val="00274596"/>
    <w:rsid w:val="002773FD"/>
    <w:rsid w:val="0027773A"/>
    <w:rsid w:val="00280559"/>
    <w:rsid w:val="0028187B"/>
    <w:rsid w:val="00283C08"/>
    <w:rsid w:val="00283C41"/>
    <w:rsid w:val="00286D0E"/>
    <w:rsid w:val="00290B89"/>
    <w:rsid w:val="00293500"/>
    <w:rsid w:val="00293997"/>
    <w:rsid w:val="0029699F"/>
    <w:rsid w:val="002A04F9"/>
    <w:rsid w:val="002A1797"/>
    <w:rsid w:val="002A1FB7"/>
    <w:rsid w:val="002A4695"/>
    <w:rsid w:val="002B021E"/>
    <w:rsid w:val="002B1412"/>
    <w:rsid w:val="002B2509"/>
    <w:rsid w:val="002B27CC"/>
    <w:rsid w:val="002B392A"/>
    <w:rsid w:val="002B49D4"/>
    <w:rsid w:val="002B5C08"/>
    <w:rsid w:val="002B6D0B"/>
    <w:rsid w:val="002B6E11"/>
    <w:rsid w:val="002B7235"/>
    <w:rsid w:val="002B78C9"/>
    <w:rsid w:val="002C0396"/>
    <w:rsid w:val="002C0811"/>
    <w:rsid w:val="002C16D1"/>
    <w:rsid w:val="002C2ABD"/>
    <w:rsid w:val="002C417D"/>
    <w:rsid w:val="002C4B5C"/>
    <w:rsid w:val="002C5A06"/>
    <w:rsid w:val="002D2A4B"/>
    <w:rsid w:val="002D39FF"/>
    <w:rsid w:val="002D7089"/>
    <w:rsid w:val="002E0C7F"/>
    <w:rsid w:val="002E615A"/>
    <w:rsid w:val="002E64E2"/>
    <w:rsid w:val="002F062D"/>
    <w:rsid w:val="002F1586"/>
    <w:rsid w:val="002F1C7F"/>
    <w:rsid w:val="002F226A"/>
    <w:rsid w:val="002F24C3"/>
    <w:rsid w:val="002F261D"/>
    <w:rsid w:val="002F27E2"/>
    <w:rsid w:val="002F51F1"/>
    <w:rsid w:val="002F5795"/>
    <w:rsid w:val="002F66CF"/>
    <w:rsid w:val="002F6AD5"/>
    <w:rsid w:val="00300F5F"/>
    <w:rsid w:val="0030235B"/>
    <w:rsid w:val="00302B77"/>
    <w:rsid w:val="003043D7"/>
    <w:rsid w:val="00304C94"/>
    <w:rsid w:val="0030540D"/>
    <w:rsid w:val="00306E58"/>
    <w:rsid w:val="00307070"/>
    <w:rsid w:val="00307072"/>
    <w:rsid w:val="00312DE1"/>
    <w:rsid w:val="00313DA7"/>
    <w:rsid w:val="0031453C"/>
    <w:rsid w:val="00314B1C"/>
    <w:rsid w:val="00321B96"/>
    <w:rsid w:val="00324FBD"/>
    <w:rsid w:val="003253A8"/>
    <w:rsid w:val="00325FE1"/>
    <w:rsid w:val="003279B6"/>
    <w:rsid w:val="00327E6F"/>
    <w:rsid w:val="0033104D"/>
    <w:rsid w:val="00331A22"/>
    <w:rsid w:val="00334154"/>
    <w:rsid w:val="003372DB"/>
    <w:rsid w:val="00337794"/>
    <w:rsid w:val="003378A2"/>
    <w:rsid w:val="00337DE4"/>
    <w:rsid w:val="003403CF"/>
    <w:rsid w:val="0034075E"/>
    <w:rsid w:val="00340AD9"/>
    <w:rsid w:val="003430FC"/>
    <w:rsid w:val="00343B30"/>
    <w:rsid w:val="00352D7E"/>
    <w:rsid w:val="003563D5"/>
    <w:rsid w:val="003606A5"/>
    <w:rsid w:val="00361BBC"/>
    <w:rsid w:val="003620E4"/>
    <w:rsid w:val="003644B1"/>
    <w:rsid w:val="00365856"/>
    <w:rsid w:val="00365FCB"/>
    <w:rsid w:val="00366649"/>
    <w:rsid w:val="003671D1"/>
    <w:rsid w:val="00370885"/>
    <w:rsid w:val="00371485"/>
    <w:rsid w:val="00373511"/>
    <w:rsid w:val="00380A3F"/>
    <w:rsid w:val="00381208"/>
    <w:rsid w:val="00381973"/>
    <w:rsid w:val="00381C74"/>
    <w:rsid w:val="00386B66"/>
    <w:rsid w:val="00387156"/>
    <w:rsid w:val="003878C4"/>
    <w:rsid w:val="0039313A"/>
    <w:rsid w:val="00394D39"/>
    <w:rsid w:val="00395757"/>
    <w:rsid w:val="003976E8"/>
    <w:rsid w:val="003977FD"/>
    <w:rsid w:val="003A0A5B"/>
    <w:rsid w:val="003A1906"/>
    <w:rsid w:val="003A2449"/>
    <w:rsid w:val="003A342A"/>
    <w:rsid w:val="003A3925"/>
    <w:rsid w:val="003A4993"/>
    <w:rsid w:val="003A66CD"/>
    <w:rsid w:val="003A7343"/>
    <w:rsid w:val="003A7CEE"/>
    <w:rsid w:val="003B16C3"/>
    <w:rsid w:val="003B3C55"/>
    <w:rsid w:val="003B733C"/>
    <w:rsid w:val="003C0F5B"/>
    <w:rsid w:val="003C5616"/>
    <w:rsid w:val="003C6728"/>
    <w:rsid w:val="003C6A2E"/>
    <w:rsid w:val="003D0563"/>
    <w:rsid w:val="003D13B9"/>
    <w:rsid w:val="003D29D5"/>
    <w:rsid w:val="003D431C"/>
    <w:rsid w:val="003D5E6E"/>
    <w:rsid w:val="003D6AB6"/>
    <w:rsid w:val="003E1507"/>
    <w:rsid w:val="003E2B4E"/>
    <w:rsid w:val="003E2EF8"/>
    <w:rsid w:val="003E3D85"/>
    <w:rsid w:val="003E3FAD"/>
    <w:rsid w:val="003E592A"/>
    <w:rsid w:val="003E76BA"/>
    <w:rsid w:val="003F09D1"/>
    <w:rsid w:val="003F1463"/>
    <w:rsid w:val="003F1F91"/>
    <w:rsid w:val="003F5E76"/>
    <w:rsid w:val="00401B1D"/>
    <w:rsid w:val="004027EE"/>
    <w:rsid w:val="00404961"/>
    <w:rsid w:val="00406254"/>
    <w:rsid w:val="00407DBD"/>
    <w:rsid w:val="0041126A"/>
    <w:rsid w:val="00413083"/>
    <w:rsid w:val="00413A16"/>
    <w:rsid w:val="004178D6"/>
    <w:rsid w:val="0042132A"/>
    <w:rsid w:val="00426593"/>
    <w:rsid w:val="00426CD7"/>
    <w:rsid w:val="00427359"/>
    <w:rsid w:val="004275FD"/>
    <w:rsid w:val="00427B41"/>
    <w:rsid w:val="004310DA"/>
    <w:rsid w:val="0043164A"/>
    <w:rsid w:val="004324B6"/>
    <w:rsid w:val="00432F7B"/>
    <w:rsid w:val="004358BB"/>
    <w:rsid w:val="00436501"/>
    <w:rsid w:val="00436A8D"/>
    <w:rsid w:val="00437382"/>
    <w:rsid w:val="004409CA"/>
    <w:rsid w:val="004420AC"/>
    <w:rsid w:val="004457FA"/>
    <w:rsid w:val="00447223"/>
    <w:rsid w:val="00451258"/>
    <w:rsid w:val="004530B4"/>
    <w:rsid w:val="00454EF9"/>
    <w:rsid w:val="004561F2"/>
    <w:rsid w:val="004579BB"/>
    <w:rsid w:val="004634B7"/>
    <w:rsid w:val="00463F1D"/>
    <w:rsid w:val="00466453"/>
    <w:rsid w:val="00471B7E"/>
    <w:rsid w:val="0047256E"/>
    <w:rsid w:val="00473018"/>
    <w:rsid w:val="004738C1"/>
    <w:rsid w:val="0047462B"/>
    <w:rsid w:val="004755AB"/>
    <w:rsid w:val="004757C4"/>
    <w:rsid w:val="004774AB"/>
    <w:rsid w:val="00477C24"/>
    <w:rsid w:val="004807B3"/>
    <w:rsid w:val="00480D57"/>
    <w:rsid w:val="004819AC"/>
    <w:rsid w:val="004831F5"/>
    <w:rsid w:val="004833A7"/>
    <w:rsid w:val="004867F4"/>
    <w:rsid w:val="004918E4"/>
    <w:rsid w:val="00495549"/>
    <w:rsid w:val="00496C70"/>
    <w:rsid w:val="00497713"/>
    <w:rsid w:val="004A11CE"/>
    <w:rsid w:val="004A2040"/>
    <w:rsid w:val="004A2A66"/>
    <w:rsid w:val="004A3FA0"/>
    <w:rsid w:val="004A44E6"/>
    <w:rsid w:val="004A49C5"/>
    <w:rsid w:val="004A4B3A"/>
    <w:rsid w:val="004A5BEC"/>
    <w:rsid w:val="004A6F41"/>
    <w:rsid w:val="004A728E"/>
    <w:rsid w:val="004B18E9"/>
    <w:rsid w:val="004B3031"/>
    <w:rsid w:val="004B36AD"/>
    <w:rsid w:val="004B4362"/>
    <w:rsid w:val="004B497C"/>
    <w:rsid w:val="004B590D"/>
    <w:rsid w:val="004B6BAF"/>
    <w:rsid w:val="004B7024"/>
    <w:rsid w:val="004B774F"/>
    <w:rsid w:val="004B7A24"/>
    <w:rsid w:val="004C0716"/>
    <w:rsid w:val="004C3F1F"/>
    <w:rsid w:val="004C6239"/>
    <w:rsid w:val="004D19F9"/>
    <w:rsid w:val="004D3F3C"/>
    <w:rsid w:val="004E0460"/>
    <w:rsid w:val="004E0477"/>
    <w:rsid w:val="004E4800"/>
    <w:rsid w:val="004E4CB1"/>
    <w:rsid w:val="004F05B2"/>
    <w:rsid w:val="004F17C7"/>
    <w:rsid w:val="004F1B3C"/>
    <w:rsid w:val="004F2102"/>
    <w:rsid w:val="004F3072"/>
    <w:rsid w:val="004F4316"/>
    <w:rsid w:val="004F5AB6"/>
    <w:rsid w:val="004F74AD"/>
    <w:rsid w:val="004F7B05"/>
    <w:rsid w:val="00500B26"/>
    <w:rsid w:val="00501776"/>
    <w:rsid w:val="0050439C"/>
    <w:rsid w:val="00504E1A"/>
    <w:rsid w:val="00507F31"/>
    <w:rsid w:val="0051148D"/>
    <w:rsid w:val="00517B06"/>
    <w:rsid w:val="005201DB"/>
    <w:rsid w:val="00523947"/>
    <w:rsid w:val="00527756"/>
    <w:rsid w:val="00533411"/>
    <w:rsid w:val="00535180"/>
    <w:rsid w:val="005406C6"/>
    <w:rsid w:val="00540E36"/>
    <w:rsid w:val="0054239C"/>
    <w:rsid w:val="00542837"/>
    <w:rsid w:val="00544782"/>
    <w:rsid w:val="00546655"/>
    <w:rsid w:val="00547458"/>
    <w:rsid w:val="00547563"/>
    <w:rsid w:val="00550384"/>
    <w:rsid w:val="005510F5"/>
    <w:rsid w:val="0055376A"/>
    <w:rsid w:val="00554428"/>
    <w:rsid w:val="00554642"/>
    <w:rsid w:val="00554CB8"/>
    <w:rsid w:val="00554E95"/>
    <w:rsid w:val="00560CDE"/>
    <w:rsid w:val="005616A1"/>
    <w:rsid w:val="0056405B"/>
    <w:rsid w:val="005641A6"/>
    <w:rsid w:val="0057132D"/>
    <w:rsid w:val="00572C52"/>
    <w:rsid w:val="00574CBF"/>
    <w:rsid w:val="00575337"/>
    <w:rsid w:val="00576C7A"/>
    <w:rsid w:val="00576E08"/>
    <w:rsid w:val="00577BBA"/>
    <w:rsid w:val="00584CE6"/>
    <w:rsid w:val="00585E45"/>
    <w:rsid w:val="005869A3"/>
    <w:rsid w:val="00586C70"/>
    <w:rsid w:val="0058746B"/>
    <w:rsid w:val="005874CA"/>
    <w:rsid w:val="0058763E"/>
    <w:rsid w:val="005919EB"/>
    <w:rsid w:val="00591C62"/>
    <w:rsid w:val="005932BD"/>
    <w:rsid w:val="005947A0"/>
    <w:rsid w:val="00594BCD"/>
    <w:rsid w:val="00596FBB"/>
    <w:rsid w:val="00597F8C"/>
    <w:rsid w:val="005A3315"/>
    <w:rsid w:val="005A3504"/>
    <w:rsid w:val="005A4F64"/>
    <w:rsid w:val="005A5E41"/>
    <w:rsid w:val="005A6A3B"/>
    <w:rsid w:val="005B01BB"/>
    <w:rsid w:val="005B2608"/>
    <w:rsid w:val="005B426A"/>
    <w:rsid w:val="005B4701"/>
    <w:rsid w:val="005B4F0D"/>
    <w:rsid w:val="005B5391"/>
    <w:rsid w:val="005B5822"/>
    <w:rsid w:val="005B5FAC"/>
    <w:rsid w:val="005B75FF"/>
    <w:rsid w:val="005C099D"/>
    <w:rsid w:val="005C1349"/>
    <w:rsid w:val="005C179A"/>
    <w:rsid w:val="005C3B16"/>
    <w:rsid w:val="005C519B"/>
    <w:rsid w:val="005C7E21"/>
    <w:rsid w:val="005D1306"/>
    <w:rsid w:val="005D2448"/>
    <w:rsid w:val="005D3692"/>
    <w:rsid w:val="005D4DE5"/>
    <w:rsid w:val="005E3B00"/>
    <w:rsid w:val="005E63B1"/>
    <w:rsid w:val="005E71A0"/>
    <w:rsid w:val="005E78CD"/>
    <w:rsid w:val="005E7CB4"/>
    <w:rsid w:val="005E7D15"/>
    <w:rsid w:val="005E7DFB"/>
    <w:rsid w:val="005E7EFD"/>
    <w:rsid w:val="005F4F79"/>
    <w:rsid w:val="005F5134"/>
    <w:rsid w:val="00600B1C"/>
    <w:rsid w:val="00601D5E"/>
    <w:rsid w:val="006038A1"/>
    <w:rsid w:val="0060447D"/>
    <w:rsid w:val="00605332"/>
    <w:rsid w:val="00605A96"/>
    <w:rsid w:val="006102D3"/>
    <w:rsid w:val="0061081C"/>
    <w:rsid w:val="00610CE7"/>
    <w:rsid w:val="00617B11"/>
    <w:rsid w:val="00620390"/>
    <w:rsid w:val="006253E5"/>
    <w:rsid w:val="00631134"/>
    <w:rsid w:val="00631922"/>
    <w:rsid w:val="00631BA9"/>
    <w:rsid w:val="00631FC3"/>
    <w:rsid w:val="00633254"/>
    <w:rsid w:val="006338F7"/>
    <w:rsid w:val="0063419D"/>
    <w:rsid w:val="00635E9E"/>
    <w:rsid w:val="006364C4"/>
    <w:rsid w:val="006421E1"/>
    <w:rsid w:val="006455CE"/>
    <w:rsid w:val="00647612"/>
    <w:rsid w:val="006525F7"/>
    <w:rsid w:val="00653325"/>
    <w:rsid w:val="00653898"/>
    <w:rsid w:val="00654567"/>
    <w:rsid w:val="006548D1"/>
    <w:rsid w:val="0066096D"/>
    <w:rsid w:val="00661456"/>
    <w:rsid w:val="006638B2"/>
    <w:rsid w:val="00664087"/>
    <w:rsid w:val="0066472F"/>
    <w:rsid w:val="00664742"/>
    <w:rsid w:val="006649B4"/>
    <w:rsid w:val="006653AB"/>
    <w:rsid w:val="00666B37"/>
    <w:rsid w:val="00667D88"/>
    <w:rsid w:val="00667DB6"/>
    <w:rsid w:val="006708A4"/>
    <w:rsid w:val="006724C4"/>
    <w:rsid w:val="00672BC4"/>
    <w:rsid w:val="00673F76"/>
    <w:rsid w:val="00681AC1"/>
    <w:rsid w:val="00683D6E"/>
    <w:rsid w:val="00684C05"/>
    <w:rsid w:val="00684C7F"/>
    <w:rsid w:val="00685714"/>
    <w:rsid w:val="0069047E"/>
    <w:rsid w:val="00690A98"/>
    <w:rsid w:val="00691242"/>
    <w:rsid w:val="0069134A"/>
    <w:rsid w:val="00692BAC"/>
    <w:rsid w:val="00693454"/>
    <w:rsid w:val="006936F3"/>
    <w:rsid w:val="00694A26"/>
    <w:rsid w:val="006962DC"/>
    <w:rsid w:val="006A47BD"/>
    <w:rsid w:val="006A4F93"/>
    <w:rsid w:val="006A66E8"/>
    <w:rsid w:val="006A7B67"/>
    <w:rsid w:val="006B14CA"/>
    <w:rsid w:val="006B29B8"/>
    <w:rsid w:val="006B551F"/>
    <w:rsid w:val="006B7BDF"/>
    <w:rsid w:val="006C1E92"/>
    <w:rsid w:val="006C3B28"/>
    <w:rsid w:val="006C665D"/>
    <w:rsid w:val="006C6E98"/>
    <w:rsid w:val="006D040D"/>
    <w:rsid w:val="006D041E"/>
    <w:rsid w:val="006D0F21"/>
    <w:rsid w:val="006D1652"/>
    <w:rsid w:val="006D2313"/>
    <w:rsid w:val="006D2437"/>
    <w:rsid w:val="006D4406"/>
    <w:rsid w:val="006D5101"/>
    <w:rsid w:val="006E340B"/>
    <w:rsid w:val="006E352F"/>
    <w:rsid w:val="006E4834"/>
    <w:rsid w:val="006E5276"/>
    <w:rsid w:val="006E57A3"/>
    <w:rsid w:val="006E5CF5"/>
    <w:rsid w:val="006E5ED5"/>
    <w:rsid w:val="006E6A3E"/>
    <w:rsid w:val="0070048E"/>
    <w:rsid w:val="007008C2"/>
    <w:rsid w:val="007013E1"/>
    <w:rsid w:val="00701CA7"/>
    <w:rsid w:val="007025CB"/>
    <w:rsid w:val="007039D2"/>
    <w:rsid w:val="007075FA"/>
    <w:rsid w:val="00707DE5"/>
    <w:rsid w:val="007109EA"/>
    <w:rsid w:val="00710AA0"/>
    <w:rsid w:val="00710D67"/>
    <w:rsid w:val="0071396F"/>
    <w:rsid w:val="0071417F"/>
    <w:rsid w:val="0071483C"/>
    <w:rsid w:val="00714B0B"/>
    <w:rsid w:val="00715D6B"/>
    <w:rsid w:val="00717FBA"/>
    <w:rsid w:val="007208A7"/>
    <w:rsid w:val="007246D8"/>
    <w:rsid w:val="007246F1"/>
    <w:rsid w:val="00724B30"/>
    <w:rsid w:val="00726455"/>
    <w:rsid w:val="0073009D"/>
    <w:rsid w:val="0073159D"/>
    <w:rsid w:val="007349A2"/>
    <w:rsid w:val="0073559D"/>
    <w:rsid w:val="007370E1"/>
    <w:rsid w:val="007378CC"/>
    <w:rsid w:val="00740A9C"/>
    <w:rsid w:val="00741B40"/>
    <w:rsid w:val="00742110"/>
    <w:rsid w:val="00742F84"/>
    <w:rsid w:val="00744857"/>
    <w:rsid w:val="0074624D"/>
    <w:rsid w:val="0074634D"/>
    <w:rsid w:val="00747A7A"/>
    <w:rsid w:val="00750624"/>
    <w:rsid w:val="007519AE"/>
    <w:rsid w:val="00753BE6"/>
    <w:rsid w:val="00753C4F"/>
    <w:rsid w:val="00756378"/>
    <w:rsid w:val="00762CC1"/>
    <w:rsid w:val="00762F00"/>
    <w:rsid w:val="0076325E"/>
    <w:rsid w:val="007639CB"/>
    <w:rsid w:val="00763ADE"/>
    <w:rsid w:val="00763C37"/>
    <w:rsid w:val="007676B2"/>
    <w:rsid w:val="00767FDB"/>
    <w:rsid w:val="00772513"/>
    <w:rsid w:val="00773B7C"/>
    <w:rsid w:val="0077472A"/>
    <w:rsid w:val="007777D8"/>
    <w:rsid w:val="00777F55"/>
    <w:rsid w:val="0078210C"/>
    <w:rsid w:val="00782309"/>
    <w:rsid w:val="00782D1F"/>
    <w:rsid w:val="00782EBF"/>
    <w:rsid w:val="007834C4"/>
    <w:rsid w:val="007928E2"/>
    <w:rsid w:val="00793258"/>
    <w:rsid w:val="0079382A"/>
    <w:rsid w:val="00797B56"/>
    <w:rsid w:val="007A419B"/>
    <w:rsid w:val="007A471E"/>
    <w:rsid w:val="007A52C9"/>
    <w:rsid w:val="007A5DBD"/>
    <w:rsid w:val="007B02C2"/>
    <w:rsid w:val="007B0A35"/>
    <w:rsid w:val="007B1E70"/>
    <w:rsid w:val="007B21F9"/>
    <w:rsid w:val="007B36F2"/>
    <w:rsid w:val="007B42B7"/>
    <w:rsid w:val="007B7F5F"/>
    <w:rsid w:val="007C2C6A"/>
    <w:rsid w:val="007C37D0"/>
    <w:rsid w:val="007C72F7"/>
    <w:rsid w:val="007D1702"/>
    <w:rsid w:val="007D365F"/>
    <w:rsid w:val="007D4E65"/>
    <w:rsid w:val="007D515D"/>
    <w:rsid w:val="007D6BED"/>
    <w:rsid w:val="007D7A1D"/>
    <w:rsid w:val="007D7D5C"/>
    <w:rsid w:val="007E0860"/>
    <w:rsid w:val="007E3160"/>
    <w:rsid w:val="007E3C96"/>
    <w:rsid w:val="007E55DD"/>
    <w:rsid w:val="007E5E74"/>
    <w:rsid w:val="007F06DF"/>
    <w:rsid w:val="007F2057"/>
    <w:rsid w:val="007F3B8C"/>
    <w:rsid w:val="007F445C"/>
    <w:rsid w:val="007F467B"/>
    <w:rsid w:val="007F6C42"/>
    <w:rsid w:val="008018E7"/>
    <w:rsid w:val="008019D7"/>
    <w:rsid w:val="00803837"/>
    <w:rsid w:val="00805A91"/>
    <w:rsid w:val="00806DDB"/>
    <w:rsid w:val="00816861"/>
    <w:rsid w:val="0081779B"/>
    <w:rsid w:val="00817A03"/>
    <w:rsid w:val="008206E0"/>
    <w:rsid w:val="0082171B"/>
    <w:rsid w:val="00821D4E"/>
    <w:rsid w:val="00822353"/>
    <w:rsid w:val="00822DB3"/>
    <w:rsid w:val="00826C28"/>
    <w:rsid w:val="00827321"/>
    <w:rsid w:val="0082795D"/>
    <w:rsid w:val="008315C8"/>
    <w:rsid w:val="008318B8"/>
    <w:rsid w:val="00831C05"/>
    <w:rsid w:val="00831C5B"/>
    <w:rsid w:val="0083223F"/>
    <w:rsid w:val="0083603A"/>
    <w:rsid w:val="008362F5"/>
    <w:rsid w:val="00837F3D"/>
    <w:rsid w:val="0084404C"/>
    <w:rsid w:val="00845D60"/>
    <w:rsid w:val="008464C5"/>
    <w:rsid w:val="008467AC"/>
    <w:rsid w:val="00850E7B"/>
    <w:rsid w:val="008510AF"/>
    <w:rsid w:val="00851C03"/>
    <w:rsid w:val="008523DC"/>
    <w:rsid w:val="0085261E"/>
    <w:rsid w:val="00852BB2"/>
    <w:rsid w:val="00854453"/>
    <w:rsid w:val="00854F77"/>
    <w:rsid w:val="0085609E"/>
    <w:rsid w:val="00856C87"/>
    <w:rsid w:val="00857E3D"/>
    <w:rsid w:val="00860BAE"/>
    <w:rsid w:val="00860FE3"/>
    <w:rsid w:val="00861775"/>
    <w:rsid w:val="008619F5"/>
    <w:rsid w:val="00863043"/>
    <w:rsid w:val="0086486E"/>
    <w:rsid w:val="00864BEF"/>
    <w:rsid w:val="0086533F"/>
    <w:rsid w:val="00866C05"/>
    <w:rsid w:val="008678E8"/>
    <w:rsid w:val="00871B62"/>
    <w:rsid w:val="00871CFF"/>
    <w:rsid w:val="00871DDC"/>
    <w:rsid w:val="00872B5A"/>
    <w:rsid w:val="00872E0F"/>
    <w:rsid w:val="008735F7"/>
    <w:rsid w:val="00875FB5"/>
    <w:rsid w:val="008767C3"/>
    <w:rsid w:val="0088307F"/>
    <w:rsid w:val="008873D6"/>
    <w:rsid w:val="00887BB6"/>
    <w:rsid w:val="008907BA"/>
    <w:rsid w:val="00890B49"/>
    <w:rsid w:val="00890C49"/>
    <w:rsid w:val="008910C7"/>
    <w:rsid w:val="00894E50"/>
    <w:rsid w:val="00894EBD"/>
    <w:rsid w:val="008973A3"/>
    <w:rsid w:val="00897B77"/>
    <w:rsid w:val="008A0343"/>
    <w:rsid w:val="008A1F6E"/>
    <w:rsid w:val="008B05F7"/>
    <w:rsid w:val="008B08C0"/>
    <w:rsid w:val="008B096D"/>
    <w:rsid w:val="008B1B62"/>
    <w:rsid w:val="008B3231"/>
    <w:rsid w:val="008B4DC9"/>
    <w:rsid w:val="008B535C"/>
    <w:rsid w:val="008B6AB5"/>
    <w:rsid w:val="008B6C78"/>
    <w:rsid w:val="008B6F78"/>
    <w:rsid w:val="008C0209"/>
    <w:rsid w:val="008C06C5"/>
    <w:rsid w:val="008C1202"/>
    <w:rsid w:val="008C45CC"/>
    <w:rsid w:val="008C4B86"/>
    <w:rsid w:val="008C6E54"/>
    <w:rsid w:val="008C7674"/>
    <w:rsid w:val="008D00FF"/>
    <w:rsid w:val="008D0ACB"/>
    <w:rsid w:val="008D266F"/>
    <w:rsid w:val="008D58DB"/>
    <w:rsid w:val="008D5DF8"/>
    <w:rsid w:val="008D78BE"/>
    <w:rsid w:val="008E12FB"/>
    <w:rsid w:val="008E1905"/>
    <w:rsid w:val="008E1E75"/>
    <w:rsid w:val="008E28A8"/>
    <w:rsid w:val="008E3D58"/>
    <w:rsid w:val="008F3F48"/>
    <w:rsid w:val="008F6C0A"/>
    <w:rsid w:val="008F70A9"/>
    <w:rsid w:val="008F7852"/>
    <w:rsid w:val="009029CA"/>
    <w:rsid w:val="00902E65"/>
    <w:rsid w:val="009048FA"/>
    <w:rsid w:val="009050CE"/>
    <w:rsid w:val="00906C31"/>
    <w:rsid w:val="0090701A"/>
    <w:rsid w:val="009125CD"/>
    <w:rsid w:val="00912A0E"/>
    <w:rsid w:val="00913FE2"/>
    <w:rsid w:val="00914A81"/>
    <w:rsid w:val="00916094"/>
    <w:rsid w:val="00916175"/>
    <w:rsid w:val="00922563"/>
    <w:rsid w:val="00922D80"/>
    <w:rsid w:val="0092401B"/>
    <w:rsid w:val="009240A3"/>
    <w:rsid w:val="00924C5F"/>
    <w:rsid w:val="009251AA"/>
    <w:rsid w:val="00925B4E"/>
    <w:rsid w:val="0092647C"/>
    <w:rsid w:val="00932288"/>
    <w:rsid w:val="00932EFF"/>
    <w:rsid w:val="0093405E"/>
    <w:rsid w:val="009352D0"/>
    <w:rsid w:val="00935990"/>
    <w:rsid w:val="0093667B"/>
    <w:rsid w:val="0093688B"/>
    <w:rsid w:val="00936A4F"/>
    <w:rsid w:val="009371D4"/>
    <w:rsid w:val="009408B1"/>
    <w:rsid w:val="00944033"/>
    <w:rsid w:val="00946061"/>
    <w:rsid w:val="00950245"/>
    <w:rsid w:val="00950915"/>
    <w:rsid w:val="009510EF"/>
    <w:rsid w:val="00954663"/>
    <w:rsid w:val="009550FF"/>
    <w:rsid w:val="00955BAA"/>
    <w:rsid w:val="00955F91"/>
    <w:rsid w:val="0096171A"/>
    <w:rsid w:val="00961FAC"/>
    <w:rsid w:val="00964CDB"/>
    <w:rsid w:val="00964F40"/>
    <w:rsid w:val="00965682"/>
    <w:rsid w:val="00965AAC"/>
    <w:rsid w:val="0096617C"/>
    <w:rsid w:val="0096659E"/>
    <w:rsid w:val="00967664"/>
    <w:rsid w:val="00967814"/>
    <w:rsid w:val="009715A5"/>
    <w:rsid w:val="00974E0D"/>
    <w:rsid w:val="00977E25"/>
    <w:rsid w:val="009810B0"/>
    <w:rsid w:val="00981356"/>
    <w:rsid w:val="00984373"/>
    <w:rsid w:val="0098722C"/>
    <w:rsid w:val="00987A67"/>
    <w:rsid w:val="00987C17"/>
    <w:rsid w:val="009924E4"/>
    <w:rsid w:val="0099441E"/>
    <w:rsid w:val="0099668A"/>
    <w:rsid w:val="00996941"/>
    <w:rsid w:val="00996B09"/>
    <w:rsid w:val="009974F1"/>
    <w:rsid w:val="0099783F"/>
    <w:rsid w:val="00997F9E"/>
    <w:rsid w:val="009A0EE7"/>
    <w:rsid w:val="009A3F3F"/>
    <w:rsid w:val="009A6E0D"/>
    <w:rsid w:val="009A6F03"/>
    <w:rsid w:val="009A7291"/>
    <w:rsid w:val="009B0479"/>
    <w:rsid w:val="009B22CE"/>
    <w:rsid w:val="009B5179"/>
    <w:rsid w:val="009B617D"/>
    <w:rsid w:val="009B646E"/>
    <w:rsid w:val="009C0FD8"/>
    <w:rsid w:val="009C14B3"/>
    <w:rsid w:val="009C233A"/>
    <w:rsid w:val="009C352B"/>
    <w:rsid w:val="009C44ED"/>
    <w:rsid w:val="009C607D"/>
    <w:rsid w:val="009C688E"/>
    <w:rsid w:val="009C7FC5"/>
    <w:rsid w:val="009D09E4"/>
    <w:rsid w:val="009D1939"/>
    <w:rsid w:val="009D2AAE"/>
    <w:rsid w:val="009D4361"/>
    <w:rsid w:val="009D47CB"/>
    <w:rsid w:val="009D5A8F"/>
    <w:rsid w:val="009E1173"/>
    <w:rsid w:val="009E1AA2"/>
    <w:rsid w:val="009E1C00"/>
    <w:rsid w:val="009E49FE"/>
    <w:rsid w:val="009E5AFC"/>
    <w:rsid w:val="009E6E86"/>
    <w:rsid w:val="009F2F07"/>
    <w:rsid w:val="009F7DAD"/>
    <w:rsid w:val="00A06F96"/>
    <w:rsid w:val="00A108D8"/>
    <w:rsid w:val="00A117B7"/>
    <w:rsid w:val="00A11F1B"/>
    <w:rsid w:val="00A15A6D"/>
    <w:rsid w:val="00A167CB"/>
    <w:rsid w:val="00A205D4"/>
    <w:rsid w:val="00A22BB8"/>
    <w:rsid w:val="00A23C5A"/>
    <w:rsid w:val="00A26D34"/>
    <w:rsid w:val="00A2709A"/>
    <w:rsid w:val="00A3153D"/>
    <w:rsid w:val="00A3238A"/>
    <w:rsid w:val="00A34C9C"/>
    <w:rsid w:val="00A35644"/>
    <w:rsid w:val="00A3600D"/>
    <w:rsid w:val="00A36254"/>
    <w:rsid w:val="00A3645D"/>
    <w:rsid w:val="00A37140"/>
    <w:rsid w:val="00A40160"/>
    <w:rsid w:val="00A41FB7"/>
    <w:rsid w:val="00A4231C"/>
    <w:rsid w:val="00A43229"/>
    <w:rsid w:val="00A444C8"/>
    <w:rsid w:val="00A454A7"/>
    <w:rsid w:val="00A47561"/>
    <w:rsid w:val="00A50271"/>
    <w:rsid w:val="00A5270D"/>
    <w:rsid w:val="00A54236"/>
    <w:rsid w:val="00A54260"/>
    <w:rsid w:val="00A54A91"/>
    <w:rsid w:val="00A6070B"/>
    <w:rsid w:val="00A64F88"/>
    <w:rsid w:val="00A65DA7"/>
    <w:rsid w:val="00A662A5"/>
    <w:rsid w:val="00A664CC"/>
    <w:rsid w:val="00A6680E"/>
    <w:rsid w:val="00A70529"/>
    <w:rsid w:val="00A7290A"/>
    <w:rsid w:val="00A734A1"/>
    <w:rsid w:val="00A7350A"/>
    <w:rsid w:val="00A73EBE"/>
    <w:rsid w:val="00A7433F"/>
    <w:rsid w:val="00A762A4"/>
    <w:rsid w:val="00A7639F"/>
    <w:rsid w:val="00A8128F"/>
    <w:rsid w:val="00A84944"/>
    <w:rsid w:val="00A84BF8"/>
    <w:rsid w:val="00A855FA"/>
    <w:rsid w:val="00A85F50"/>
    <w:rsid w:val="00A8624B"/>
    <w:rsid w:val="00A875B7"/>
    <w:rsid w:val="00A87A8D"/>
    <w:rsid w:val="00A9177D"/>
    <w:rsid w:val="00A91D75"/>
    <w:rsid w:val="00A92833"/>
    <w:rsid w:val="00A94E04"/>
    <w:rsid w:val="00A9567A"/>
    <w:rsid w:val="00A96371"/>
    <w:rsid w:val="00A96640"/>
    <w:rsid w:val="00A96789"/>
    <w:rsid w:val="00AA061C"/>
    <w:rsid w:val="00AA26D9"/>
    <w:rsid w:val="00AA4CDB"/>
    <w:rsid w:val="00AA57AB"/>
    <w:rsid w:val="00AA633F"/>
    <w:rsid w:val="00AA7069"/>
    <w:rsid w:val="00AA7682"/>
    <w:rsid w:val="00AB1C85"/>
    <w:rsid w:val="00AB2C96"/>
    <w:rsid w:val="00AB3CF9"/>
    <w:rsid w:val="00AB77A5"/>
    <w:rsid w:val="00AC053F"/>
    <w:rsid w:val="00AC05B5"/>
    <w:rsid w:val="00AC2614"/>
    <w:rsid w:val="00AC360F"/>
    <w:rsid w:val="00AC3D3A"/>
    <w:rsid w:val="00AC5464"/>
    <w:rsid w:val="00AC57E7"/>
    <w:rsid w:val="00AC6CCF"/>
    <w:rsid w:val="00AC737A"/>
    <w:rsid w:val="00AC7AFA"/>
    <w:rsid w:val="00AD0DAF"/>
    <w:rsid w:val="00AD7955"/>
    <w:rsid w:val="00AD7A61"/>
    <w:rsid w:val="00AE0E9B"/>
    <w:rsid w:val="00AE16E7"/>
    <w:rsid w:val="00AE1928"/>
    <w:rsid w:val="00AE1A07"/>
    <w:rsid w:val="00AE24B1"/>
    <w:rsid w:val="00AE67CB"/>
    <w:rsid w:val="00AE720B"/>
    <w:rsid w:val="00AF3CB4"/>
    <w:rsid w:val="00AF460B"/>
    <w:rsid w:val="00AF502F"/>
    <w:rsid w:val="00AF634D"/>
    <w:rsid w:val="00AF6EEA"/>
    <w:rsid w:val="00B00A5D"/>
    <w:rsid w:val="00B012D6"/>
    <w:rsid w:val="00B0159E"/>
    <w:rsid w:val="00B018CE"/>
    <w:rsid w:val="00B01FE7"/>
    <w:rsid w:val="00B02188"/>
    <w:rsid w:val="00B074FD"/>
    <w:rsid w:val="00B07884"/>
    <w:rsid w:val="00B1096B"/>
    <w:rsid w:val="00B10E5C"/>
    <w:rsid w:val="00B12F3B"/>
    <w:rsid w:val="00B13767"/>
    <w:rsid w:val="00B1377C"/>
    <w:rsid w:val="00B157B8"/>
    <w:rsid w:val="00B20581"/>
    <w:rsid w:val="00B23D5D"/>
    <w:rsid w:val="00B24369"/>
    <w:rsid w:val="00B245F8"/>
    <w:rsid w:val="00B303CA"/>
    <w:rsid w:val="00B336AE"/>
    <w:rsid w:val="00B33862"/>
    <w:rsid w:val="00B34448"/>
    <w:rsid w:val="00B36060"/>
    <w:rsid w:val="00B36443"/>
    <w:rsid w:val="00B40368"/>
    <w:rsid w:val="00B40492"/>
    <w:rsid w:val="00B40F9D"/>
    <w:rsid w:val="00B41E63"/>
    <w:rsid w:val="00B44489"/>
    <w:rsid w:val="00B444F6"/>
    <w:rsid w:val="00B45F17"/>
    <w:rsid w:val="00B45FD0"/>
    <w:rsid w:val="00B470F4"/>
    <w:rsid w:val="00B541EC"/>
    <w:rsid w:val="00B546E4"/>
    <w:rsid w:val="00B54AA9"/>
    <w:rsid w:val="00B55566"/>
    <w:rsid w:val="00B559CC"/>
    <w:rsid w:val="00B57687"/>
    <w:rsid w:val="00B578BE"/>
    <w:rsid w:val="00B61A5C"/>
    <w:rsid w:val="00B62FCC"/>
    <w:rsid w:val="00B6369D"/>
    <w:rsid w:val="00B65BBB"/>
    <w:rsid w:val="00B67A07"/>
    <w:rsid w:val="00B7025A"/>
    <w:rsid w:val="00B707E6"/>
    <w:rsid w:val="00B717C3"/>
    <w:rsid w:val="00B71DCF"/>
    <w:rsid w:val="00B72C85"/>
    <w:rsid w:val="00B76DB7"/>
    <w:rsid w:val="00B8446F"/>
    <w:rsid w:val="00B86017"/>
    <w:rsid w:val="00B861AB"/>
    <w:rsid w:val="00B915EA"/>
    <w:rsid w:val="00B92012"/>
    <w:rsid w:val="00B95A26"/>
    <w:rsid w:val="00BA0A92"/>
    <w:rsid w:val="00BA119A"/>
    <w:rsid w:val="00BA1582"/>
    <w:rsid w:val="00BA2D2E"/>
    <w:rsid w:val="00BA4462"/>
    <w:rsid w:val="00BA4E01"/>
    <w:rsid w:val="00BA6637"/>
    <w:rsid w:val="00BA6BE0"/>
    <w:rsid w:val="00BB0336"/>
    <w:rsid w:val="00BB411A"/>
    <w:rsid w:val="00BB5858"/>
    <w:rsid w:val="00BB587B"/>
    <w:rsid w:val="00BB6654"/>
    <w:rsid w:val="00BB6DE4"/>
    <w:rsid w:val="00BC030D"/>
    <w:rsid w:val="00BC0555"/>
    <w:rsid w:val="00BC2B27"/>
    <w:rsid w:val="00BC5C73"/>
    <w:rsid w:val="00BC773A"/>
    <w:rsid w:val="00BD13B3"/>
    <w:rsid w:val="00BD2E81"/>
    <w:rsid w:val="00BD531E"/>
    <w:rsid w:val="00BE077F"/>
    <w:rsid w:val="00BE1376"/>
    <w:rsid w:val="00BE138B"/>
    <w:rsid w:val="00BE47EC"/>
    <w:rsid w:val="00BE52F8"/>
    <w:rsid w:val="00BE69B3"/>
    <w:rsid w:val="00BF0E3B"/>
    <w:rsid w:val="00BF46A9"/>
    <w:rsid w:val="00BF4BBB"/>
    <w:rsid w:val="00BF4FB7"/>
    <w:rsid w:val="00BF50DB"/>
    <w:rsid w:val="00BF598E"/>
    <w:rsid w:val="00BF7A38"/>
    <w:rsid w:val="00C04027"/>
    <w:rsid w:val="00C04E27"/>
    <w:rsid w:val="00C05A0A"/>
    <w:rsid w:val="00C07141"/>
    <w:rsid w:val="00C106AA"/>
    <w:rsid w:val="00C1119B"/>
    <w:rsid w:val="00C137DB"/>
    <w:rsid w:val="00C13BF0"/>
    <w:rsid w:val="00C153BF"/>
    <w:rsid w:val="00C154FA"/>
    <w:rsid w:val="00C20480"/>
    <w:rsid w:val="00C22A51"/>
    <w:rsid w:val="00C2353B"/>
    <w:rsid w:val="00C25FCA"/>
    <w:rsid w:val="00C269B9"/>
    <w:rsid w:val="00C27210"/>
    <w:rsid w:val="00C2791D"/>
    <w:rsid w:val="00C303D5"/>
    <w:rsid w:val="00C30E33"/>
    <w:rsid w:val="00C313F8"/>
    <w:rsid w:val="00C33AC4"/>
    <w:rsid w:val="00C353E5"/>
    <w:rsid w:val="00C41A31"/>
    <w:rsid w:val="00C45177"/>
    <w:rsid w:val="00C45F90"/>
    <w:rsid w:val="00C45F9F"/>
    <w:rsid w:val="00C46416"/>
    <w:rsid w:val="00C4693A"/>
    <w:rsid w:val="00C47100"/>
    <w:rsid w:val="00C519E2"/>
    <w:rsid w:val="00C51EDD"/>
    <w:rsid w:val="00C5238D"/>
    <w:rsid w:val="00C546A8"/>
    <w:rsid w:val="00C547A4"/>
    <w:rsid w:val="00C55644"/>
    <w:rsid w:val="00C56C35"/>
    <w:rsid w:val="00C6017A"/>
    <w:rsid w:val="00C60436"/>
    <w:rsid w:val="00C62BEF"/>
    <w:rsid w:val="00C64B5E"/>
    <w:rsid w:val="00C66C23"/>
    <w:rsid w:val="00C67620"/>
    <w:rsid w:val="00C707A5"/>
    <w:rsid w:val="00C71CAB"/>
    <w:rsid w:val="00C731E1"/>
    <w:rsid w:val="00C74377"/>
    <w:rsid w:val="00C80C7E"/>
    <w:rsid w:val="00C86CA0"/>
    <w:rsid w:val="00C912B0"/>
    <w:rsid w:val="00C91D2F"/>
    <w:rsid w:val="00C91FF2"/>
    <w:rsid w:val="00C97B78"/>
    <w:rsid w:val="00CA1ECC"/>
    <w:rsid w:val="00CA22DB"/>
    <w:rsid w:val="00CA340F"/>
    <w:rsid w:val="00CA34F7"/>
    <w:rsid w:val="00CA441B"/>
    <w:rsid w:val="00CA5672"/>
    <w:rsid w:val="00CA5A9B"/>
    <w:rsid w:val="00CA6143"/>
    <w:rsid w:val="00CA71A8"/>
    <w:rsid w:val="00CA7C14"/>
    <w:rsid w:val="00CB5A38"/>
    <w:rsid w:val="00CB65DF"/>
    <w:rsid w:val="00CB7128"/>
    <w:rsid w:val="00CB7268"/>
    <w:rsid w:val="00CC0487"/>
    <w:rsid w:val="00CC0BBF"/>
    <w:rsid w:val="00CC1060"/>
    <w:rsid w:val="00CC4672"/>
    <w:rsid w:val="00CC4AE5"/>
    <w:rsid w:val="00CC653C"/>
    <w:rsid w:val="00CD2AEF"/>
    <w:rsid w:val="00CD43E6"/>
    <w:rsid w:val="00CD4474"/>
    <w:rsid w:val="00CD60A1"/>
    <w:rsid w:val="00CE40E9"/>
    <w:rsid w:val="00CE65D5"/>
    <w:rsid w:val="00CE6ECE"/>
    <w:rsid w:val="00CE7428"/>
    <w:rsid w:val="00CF089A"/>
    <w:rsid w:val="00CF36E5"/>
    <w:rsid w:val="00CF4241"/>
    <w:rsid w:val="00CF4F60"/>
    <w:rsid w:val="00CF5CA8"/>
    <w:rsid w:val="00CF6C2F"/>
    <w:rsid w:val="00CF7A32"/>
    <w:rsid w:val="00D009E7"/>
    <w:rsid w:val="00D01C82"/>
    <w:rsid w:val="00D06360"/>
    <w:rsid w:val="00D07B9D"/>
    <w:rsid w:val="00D10721"/>
    <w:rsid w:val="00D112FF"/>
    <w:rsid w:val="00D11A0C"/>
    <w:rsid w:val="00D15D3D"/>
    <w:rsid w:val="00D169E0"/>
    <w:rsid w:val="00D16A59"/>
    <w:rsid w:val="00D20ECF"/>
    <w:rsid w:val="00D21B32"/>
    <w:rsid w:val="00D22CC0"/>
    <w:rsid w:val="00D24BF9"/>
    <w:rsid w:val="00D27A7C"/>
    <w:rsid w:val="00D32514"/>
    <w:rsid w:val="00D32D5D"/>
    <w:rsid w:val="00D32D82"/>
    <w:rsid w:val="00D33AEC"/>
    <w:rsid w:val="00D33F2A"/>
    <w:rsid w:val="00D35773"/>
    <w:rsid w:val="00D35C24"/>
    <w:rsid w:val="00D360B0"/>
    <w:rsid w:val="00D36108"/>
    <w:rsid w:val="00D42E9E"/>
    <w:rsid w:val="00D44CEE"/>
    <w:rsid w:val="00D44F4E"/>
    <w:rsid w:val="00D45974"/>
    <w:rsid w:val="00D47903"/>
    <w:rsid w:val="00D52CB2"/>
    <w:rsid w:val="00D5449A"/>
    <w:rsid w:val="00D555B7"/>
    <w:rsid w:val="00D57253"/>
    <w:rsid w:val="00D5730E"/>
    <w:rsid w:val="00D628E3"/>
    <w:rsid w:val="00D63414"/>
    <w:rsid w:val="00D65B41"/>
    <w:rsid w:val="00D679FB"/>
    <w:rsid w:val="00D7006F"/>
    <w:rsid w:val="00D729B1"/>
    <w:rsid w:val="00D75EC5"/>
    <w:rsid w:val="00D76422"/>
    <w:rsid w:val="00D77566"/>
    <w:rsid w:val="00D80C3A"/>
    <w:rsid w:val="00D818D6"/>
    <w:rsid w:val="00D82881"/>
    <w:rsid w:val="00D829A8"/>
    <w:rsid w:val="00D84B05"/>
    <w:rsid w:val="00D858EC"/>
    <w:rsid w:val="00D866EC"/>
    <w:rsid w:val="00D8681A"/>
    <w:rsid w:val="00D915BF"/>
    <w:rsid w:val="00DA12F1"/>
    <w:rsid w:val="00DA284C"/>
    <w:rsid w:val="00DA336E"/>
    <w:rsid w:val="00DA3A5D"/>
    <w:rsid w:val="00DA4200"/>
    <w:rsid w:val="00DA48EC"/>
    <w:rsid w:val="00DA63D6"/>
    <w:rsid w:val="00DA71F2"/>
    <w:rsid w:val="00DA7AD9"/>
    <w:rsid w:val="00DB2C18"/>
    <w:rsid w:val="00DB3B33"/>
    <w:rsid w:val="00DB561A"/>
    <w:rsid w:val="00DB5ED1"/>
    <w:rsid w:val="00DB683A"/>
    <w:rsid w:val="00DB79FD"/>
    <w:rsid w:val="00DC0D09"/>
    <w:rsid w:val="00DC13A6"/>
    <w:rsid w:val="00DC62B3"/>
    <w:rsid w:val="00DC7C4E"/>
    <w:rsid w:val="00DD10F8"/>
    <w:rsid w:val="00DD4B9E"/>
    <w:rsid w:val="00DE2664"/>
    <w:rsid w:val="00DE2B22"/>
    <w:rsid w:val="00DE3570"/>
    <w:rsid w:val="00DE3694"/>
    <w:rsid w:val="00DE4D78"/>
    <w:rsid w:val="00DE58C7"/>
    <w:rsid w:val="00DE5B3E"/>
    <w:rsid w:val="00DE779F"/>
    <w:rsid w:val="00DF11E2"/>
    <w:rsid w:val="00DF18D4"/>
    <w:rsid w:val="00DF1BFB"/>
    <w:rsid w:val="00DF2806"/>
    <w:rsid w:val="00DF2B0D"/>
    <w:rsid w:val="00DF3BEF"/>
    <w:rsid w:val="00DF3D33"/>
    <w:rsid w:val="00DF5238"/>
    <w:rsid w:val="00E00C32"/>
    <w:rsid w:val="00E014D2"/>
    <w:rsid w:val="00E01B9C"/>
    <w:rsid w:val="00E022AC"/>
    <w:rsid w:val="00E02849"/>
    <w:rsid w:val="00E02B07"/>
    <w:rsid w:val="00E0346C"/>
    <w:rsid w:val="00E03739"/>
    <w:rsid w:val="00E03FD2"/>
    <w:rsid w:val="00E04B5E"/>
    <w:rsid w:val="00E05612"/>
    <w:rsid w:val="00E06FEA"/>
    <w:rsid w:val="00E10661"/>
    <w:rsid w:val="00E1085D"/>
    <w:rsid w:val="00E112ED"/>
    <w:rsid w:val="00E11FD1"/>
    <w:rsid w:val="00E12A76"/>
    <w:rsid w:val="00E13AB2"/>
    <w:rsid w:val="00E13F47"/>
    <w:rsid w:val="00E1477A"/>
    <w:rsid w:val="00E15C17"/>
    <w:rsid w:val="00E16057"/>
    <w:rsid w:val="00E16735"/>
    <w:rsid w:val="00E1700C"/>
    <w:rsid w:val="00E17B7A"/>
    <w:rsid w:val="00E21444"/>
    <w:rsid w:val="00E226CA"/>
    <w:rsid w:val="00E22704"/>
    <w:rsid w:val="00E228AC"/>
    <w:rsid w:val="00E25150"/>
    <w:rsid w:val="00E2632E"/>
    <w:rsid w:val="00E2634F"/>
    <w:rsid w:val="00E277E1"/>
    <w:rsid w:val="00E309A2"/>
    <w:rsid w:val="00E31E7B"/>
    <w:rsid w:val="00E325E9"/>
    <w:rsid w:val="00E35B2C"/>
    <w:rsid w:val="00E403F6"/>
    <w:rsid w:val="00E40559"/>
    <w:rsid w:val="00E41B3A"/>
    <w:rsid w:val="00E41D56"/>
    <w:rsid w:val="00E43367"/>
    <w:rsid w:val="00E437AB"/>
    <w:rsid w:val="00E43DF1"/>
    <w:rsid w:val="00E47336"/>
    <w:rsid w:val="00E4789E"/>
    <w:rsid w:val="00E5012A"/>
    <w:rsid w:val="00E5107E"/>
    <w:rsid w:val="00E51F1D"/>
    <w:rsid w:val="00E52319"/>
    <w:rsid w:val="00E52674"/>
    <w:rsid w:val="00E53ECF"/>
    <w:rsid w:val="00E54CA1"/>
    <w:rsid w:val="00E54E52"/>
    <w:rsid w:val="00E5699B"/>
    <w:rsid w:val="00E57332"/>
    <w:rsid w:val="00E5753E"/>
    <w:rsid w:val="00E57606"/>
    <w:rsid w:val="00E6035E"/>
    <w:rsid w:val="00E670E3"/>
    <w:rsid w:val="00E671A9"/>
    <w:rsid w:val="00E67B69"/>
    <w:rsid w:val="00E70DF8"/>
    <w:rsid w:val="00E73769"/>
    <w:rsid w:val="00E755F4"/>
    <w:rsid w:val="00E75CB2"/>
    <w:rsid w:val="00E75D30"/>
    <w:rsid w:val="00E80E1F"/>
    <w:rsid w:val="00E83336"/>
    <w:rsid w:val="00E83895"/>
    <w:rsid w:val="00E84317"/>
    <w:rsid w:val="00E9167E"/>
    <w:rsid w:val="00E92F7F"/>
    <w:rsid w:val="00E93776"/>
    <w:rsid w:val="00E95E49"/>
    <w:rsid w:val="00E96722"/>
    <w:rsid w:val="00E97920"/>
    <w:rsid w:val="00EA0584"/>
    <w:rsid w:val="00EA1183"/>
    <w:rsid w:val="00EA2207"/>
    <w:rsid w:val="00EA379A"/>
    <w:rsid w:val="00EA6465"/>
    <w:rsid w:val="00EA6C44"/>
    <w:rsid w:val="00EB32CB"/>
    <w:rsid w:val="00EB5CB9"/>
    <w:rsid w:val="00EB5D5E"/>
    <w:rsid w:val="00EB6E02"/>
    <w:rsid w:val="00EB7C20"/>
    <w:rsid w:val="00EB7FCE"/>
    <w:rsid w:val="00EC0576"/>
    <w:rsid w:val="00EC1CBA"/>
    <w:rsid w:val="00EC5165"/>
    <w:rsid w:val="00EC5C4A"/>
    <w:rsid w:val="00EC702D"/>
    <w:rsid w:val="00EC7303"/>
    <w:rsid w:val="00ED003E"/>
    <w:rsid w:val="00ED108A"/>
    <w:rsid w:val="00ED1559"/>
    <w:rsid w:val="00ED42D1"/>
    <w:rsid w:val="00ED5411"/>
    <w:rsid w:val="00ED6B7B"/>
    <w:rsid w:val="00ED6D69"/>
    <w:rsid w:val="00ED77DC"/>
    <w:rsid w:val="00EE07EF"/>
    <w:rsid w:val="00EE0FB8"/>
    <w:rsid w:val="00EE2E5B"/>
    <w:rsid w:val="00EE4EA6"/>
    <w:rsid w:val="00EE60B8"/>
    <w:rsid w:val="00EE6B9C"/>
    <w:rsid w:val="00EE74BA"/>
    <w:rsid w:val="00EE7B06"/>
    <w:rsid w:val="00EF207B"/>
    <w:rsid w:val="00EF2FDB"/>
    <w:rsid w:val="00EF3070"/>
    <w:rsid w:val="00EF6ED3"/>
    <w:rsid w:val="00EF7106"/>
    <w:rsid w:val="00EF779D"/>
    <w:rsid w:val="00F02CFB"/>
    <w:rsid w:val="00F03CBE"/>
    <w:rsid w:val="00F0444F"/>
    <w:rsid w:val="00F05778"/>
    <w:rsid w:val="00F06D93"/>
    <w:rsid w:val="00F07E8F"/>
    <w:rsid w:val="00F104B9"/>
    <w:rsid w:val="00F10B73"/>
    <w:rsid w:val="00F10DA8"/>
    <w:rsid w:val="00F10F5D"/>
    <w:rsid w:val="00F10FAB"/>
    <w:rsid w:val="00F12A34"/>
    <w:rsid w:val="00F13F66"/>
    <w:rsid w:val="00F16F4D"/>
    <w:rsid w:val="00F219AA"/>
    <w:rsid w:val="00F21F95"/>
    <w:rsid w:val="00F234BF"/>
    <w:rsid w:val="00F23693"/>
    <w:rsid w:val="00F262D1"/>
    <w:rsid w:val="00F278F3"/>
    <w:rsid w:val="00F31CFC"/>
    <w:rsid w:val="00F3461D"/>
    <w:rsid w:val="00F34722"/>
    <w:rsid w:val="00F409B3"/>
    <w:rsid w:val="00F41B2E"/>
    <w:rsid w:val="00F429F2"/>
    <w:rsid w:val="00F44CBD"/>
    <w:rsid w:val="00F451E2"/>
    <w:rsid w:val="00F4629E"/>
    <w:rsid w:val="00F4693E"/>
    <w:rsid w:val="00F51EA2"/>
    <w:rsid w:val="00F52F0A"/>
    <w:rsid w:val="00F542EB"/>
    <w:rsid w:val="00F5509E"/>
    <w:rsid w:val="00F55DD5"/>
    <w:rsid w:val="00F55EA5"/>
    <w:rsid w:val="00F564A6"/>
    <w:rsid w:val="00F57307"/>
    <w:rsid w:val="00F57605"/>
    <w:rsid w:val="00F61296"/>
    <w:rsid w:val="00F628AC"/>
    <w:rsid w:val="00F67A0A"/>
    <w:rsid w:val="00F67DC0"/>
    <w:rsid w:val="00F70B92"/>
    <w:rsid w:val="00F7212B"/>
    <w:rsid w:val="00F731F6"/>
    <w:rsid w:val="00F73208"/>
    <w:rsid w:val="00F7507B"/>
    <w:rsid w:val="00F77AA9"/>
    <w:rsid w:val="00F8199F"/>
    <w:rsid w:val="00F82234"/>
    <w:rsid w:val="00F92AA9"/>
    <w:rsid w:val="00F92D1D"/>
    <w:rsid w:val="00F9674F"/>
    <w:rsid w:val="00F96E85"/>
    <w:rsid w:val="00F96EBC"/>
    <w:rsid w:val="00F97605"/>
    <w:rsid w:val="00F979C8"/>
    <w:rsid w:val="00FA3171"/>
    <w:rsid w:val="00FA3A69"/>
    <w:rsid w:val="00FA49A9"/>
    <w:rsid w:val="00FA4A3B"/>
    <w:rsid w:val="00FA6C1D"/>
    <w:rsid w:val="00FB2D4A"/>
    <w:rsid w:val="00FB339C"/>
    <w:rsid w:val="00FB42A9"/>
    <w:rsid w:val="00FB4C96"/>
    <w:rsid w:val="00FB4E8C"/>
    <w:rsid w:val="00FB62E5"/>
    <w:rsid w:val="00FB6855"/>
    <w:rsid w:val="00FB6EA6"/>
    <w:rsid w:val="00FB7B26"/>
    <w:rsid w:val="00FC1B3A"/>
    <w:rsid w:val="00FC1E40"/>
    <w:rsid w:val="00FC38E9"/>
    <w:rsid w:val="00FC41A5"/>
    <w:rsid w:val="00FC46D9"/>
    <w:rsid w:val="00FC47A4"/>
    <w:rsid w:val="00FC7C04"/>
    <w:rsid w:val="00FC7F85"/>
    <w:rsid w:val="00FD2870"/>
    <w:rsid w:val="00FD2B86"/>
    <w:rsid w:val="00FD79F0"/>
    <w:rsid w:val="00FE152A"/>
    <w:rsid w:val="00FE25E8"/>
    <w:rsid w:val="00FE3927"/>
    <w:rsid w:val="00FE4911"/>
    <w:rsid w:val="00FE50B6"/>
    <w:rsid w:val="00FE587D"/>
    <w:rsid w:val="00FE5DA2"/>
    <w:rsid w:val="00FE60DC"/>
    <w:rsid w:val="00FE6665"/>
    <w:rsid w:val="00FE7805"/>
    <w:rsid w:val="00FF1E9F"/>
    <w:rsid w:val="00FF247B"/>
    <w:rsid w:val="00FF34E4"/>
    <w:rsid w:val="00FF3FB0"/>
    <w:rsid w:val="00FF41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9FBFE3"/>
  <w15:docId w15:val="{8E28532B-B38B-403C-B68A-B9BCE8EF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1E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1E1"/>
    <w:pPr>
      <w:ind w:left="720"/>
      <w:contextualSpacing/>
    </w:pPr>
  </w:style>
  <w:style w:type="character" w:styleId="Hyperlink">
    <w:name w:val="Hyperlink"/>
    <w:basedOn w:val="DefaultParagraphFont"/>
    <w:uiPriority w:val="99"/>
    <w:unhideWhenUsed/>
    <w:rsid w:val="00DF11E2"/>
    <w:rPr>
      <w:color w:val="0000FF"/>
      <w:u w:val="single"/>
    </w:rPr>
  </w:style>
  <w:style w:type="paragraph" w:styleId="BalloonText">
    <w:name w:val="Balloon Text"/>
    <w:basedOn w:val="Normal"/>
    <w:link w:val="BalloonTextChar"/>
    <w:uiPriority w:val="99"/>
    <w:semiHidden/>
    <w:unhideWhenUsed/>
    <w:rsid w:val="00DF11E2"/>
    <w:rPr>
      <w:rFonts w:ascii="Tahoma" w:hAnsi="Tahoma" w:cs="Tahoma"/>
      <w:sz w:val="16"/>
      <w:szCs w:val="16"/>
    </w:rPr>
  </w:style>
  <w:style w:type="character" w:customStyle="1" w:styleId="BalloonTextChar">
    <w:name w:val="Balloon Text Char"/>
    <w:basedOn w:val="DefaultParagraphFont"/>
    <w:link w:val="BalloonText"/>
    <w:uiPriority w:val="99"/>
    <w:semiHidden/>
    <w:rsid w:val="00DF11E2"/>
    <w:rPr>
      <w:rFonts w:ascii="Tahoma" w:hAnsi="Tahoma" w:cs="Tahoma"/>
      <w:sz w:val="16"/>
      <w:szCs w:val="16"/>
    </w:rPr>
  </w:style>
  <w:style w:type="paragraph" w:customStyle="1" w:styleId="Default">
    <w:name w:val="Default"/>
    <w:rsid w:val="00E979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44489"/>
    <w:pPr>
      <w:tabs>
        <w:tab w:val="center" w:pos="4680"/>
        <w:tab w:val="right" w:pos="9360"/>
      </w:tabs>
    </w:pPr>
  </w:style>
  <w:style w:type="character" w:customStyle="1" w:styleId="HeaderChar">
    <w:name w:val="Header Char"/>
    <w:basedOn w:val="DefaultParagraphFont"/>
    <w:link w:val="Header"/>
    <w:uiPriority w:val="99"/>
    <w:rsid w:val="00B44489"/>
  </w:style>
  <w:style w:type="paragraph" w:styleId="Footer">
    <w:name w:val="footer"/>
    <w:basedOn w:val="Normal"/>
    <w:link w:val="FooterChar"/>
    <w:uiPriority w:val="99"/>
    <w:unhideWhenUsed/>
    <w:rsid w:val="00B44489"/>
    <w:pPr>
      <w:tabs>
        <w:tab w:val="center" w:pos="4680"/>
        <w:tab w:val="right" w:pos="9360"/>
      </w:tabs>
    </w:pPr>
  </w:style>
  <w:style w:type="character" w:customStyle="1" w:styleId="FooterChar">
    <w:name w:val="Footer Char"/>
    <w:basedOn w:val="DefaultParagraphFont"/>
    <w:link w:val="Footer"/>
    <w:uiPriority w:val="99"/>
    <w:rsid w:val="00B44489"/>
  </w:style>
  <w:style w:type="character" w:styleId="CommentReference">
    <w:name w:val="annotation reference"/>
    <w:basedOn w:val="DefaultParagraphFont"/>
    <w:uiPriority w:val="99"/>
    <w:semiHidden/>
    <w:unhideWhenUsed/>
    <w:rsid w:val="00B44489"/>
    <w:rPr>
      <w:sz w:val="16"/>
      <w:szCs w:val="16"/>
    </w:rPr>
  </w:style>
  <w:style w:type="paragraph" w:styleId="CommentText">
    <w:name w:val="annotation text"/>
    <w:basedOn w:val="Normal"/>
    <w:link w:val="CommentTextChar"/>
    <w:uiPriority w:val="99"/>
    <w:unhideWhenUsed/>
    <w:rsid w:val="00B44489"/>
    <w:rPr>
      <w:sz w:val="20"/>
      <w:szCs w:val="20"/>
    </w:rPr>
  </w:style>
  <w:style w:type="character" w:customStyle="1" w:styleId="CommentTextChar">
    <w:name w:val="Comment Text Char"/>
    <w:basedOn w:val="DefaultParagraphFont"/>
    <w:link w:val="CommentText"/>
    <w:uiPriority w:val="99"/>
    <w:rsid w:val="00B44489"/>
    <w:rPr>
      <w:sz w:val="20"/>
      <w:szCs w:val="20"/>
    </w:rPr>
  </w:style>
  <w:style w:type="paragraph" w:styleId="CommentSubject">
    <w:name w:val="annotation subject"/>
    <w:basedOn w:val="CommentText"/>
    <w:next w:val="CommentText"/>
    <w:link w:val="CommentSubjectChar"/>
    <w:uiPriority w:val="99"/>
    <w:semiHidden/>
    <w:unhideWhenUsed/>
    <w:rsid w:val="00B44489"/>
    <w:rPr>
      <w:b/>
      <w:bCs/>
    </w:rPr>
  </w:style>
  <w:style w:type="character" w:customStyle="1" w:styleId="CommentSubjectChar">
    <w:name w:val="Comment Subject Char"/>
    <w:basedOn w:val="CommentTextChar"/>
    <w:link w:val="CommentSubject"/>
    <w:uiPriority w:val="99"/>
    <w:semiHidden/>
    <w:rsid w:val="00B44489"/>
    <w:rPr>
      <w:b/>
      <w:bCs/>
      <w:sz w:val="20"/>
      <w:szCs w:val="20"/>
    </w:rPr>
  </w:style>
  <w:style w:type="character" w:styleId="FollowedHyperlink">
    <w:name w:val="FollowedHyperlink"/>
    <w:basedOn w:val="DefaultParagraphFont"/>
    <w:uiPriority w:val="99"/>
    <w:semiHidden/>
    <w:unhideWhenUsed/>
    <w:rsid w:val="000E3AB0"/>
    <w:rPr>
      <w:color w:val="800080" w:themeColor="followedHyperlink"/>
      <w:u w:val="single"/>
    </w:rPr>
  </w:style>
  <w:style w:type="paragraph" w:styleId="NormalWeb">
    <w:name w:val="Normal (Web)"/>
    <w:basedOn w:val="Normal"/>
    <w:uiPriority w:val="99"/>
    <w:rsid w:val="000E3AB0"/>
    <w:pPr>
      <w:spacing w:beforeLines="1" w:afterLines="1"/>
    </w:pPr>
    <w:rPr>
      <w:rFonts w:ascii="Times" w:hAnsi="Times" w:cs="Times New Roman"/>
      <w:sz w:val="20"/>
      <w:szCs w:val="20"/>
    </w:rPr>
  </w:style>
  <w:style w:type="character" w:styleId="Emphasis">
    <w:name w:val="Emphasis"/>
    <w:basedOn w:val="DefaultParagraphFont"/>
    <w:uiPriority w:val="20"/>
    <w:rsid w:val="002D7089"/>
    <w:rPr>
      <w:i/>
    </w:rPr>
  </w:style>
  <w:style w:type="character" w:styleId="Strong">
    <w:name w:val="Strong"/>
    <w:basedOn w:val="DefaultParagraphFont"/>
    <w:uiPriority w:val="22"/>
    <w:rsid w:val="009E1173"/>
    <w:rPr>
      <w:b/>
    </w:rPr>
  </w:style>
  <w:style w:type="paragraph" w:styleId="FootnoteText">
    <w:name w:val="footnote text"/>
    <w:basedOn w:val="Normal"/>
    <w:link w:val="FootnoteTextChar"/>
    <w:rsid w:val="001E1F55"/>
    <w:rPr>
      <w:sz w:val="20"/>
      <w:szCs w:val="20"/>
    </w:rPr>
  </w:style>
  <w:style w:type="character" w:customStyle="1" w:styleId="FootnoteTextChar">
    <w:name w:val="Footnote Text Char"/>
    <w:basedOn w:val="DefaultParagraphFont"/>
    <w:link w:val="FootnoteText"/>
    <w:rsid w:val="001E1F55"/>
    <w:rPr>
      <w:sz w:val="20"/>
      <w:szCs w:val="20"/>
    </w:rPr>
  </w:style>
  <w:style w:type="character" w:styleId="FootnoteReference">
    <w:name w:val="footnote reference"/>
    <w:basedOn w:val="DefaultParagraphFont"/>
    <w:rsid w:val="001E1F55"/>
    <w:rPr>
      <w:vertAlign w:val="superscript"/>
    </w:rPr>
  </w:style>
  <w:style w:type="paragraph" w:styleId="Revision">
    <w:name w:val="Revision"/>
    <w:hidden/>
    <w:rsid w:val="004B18E9"/>
    <w:pPr>
      <w:spacing w:after="0" w:line="240" w:lineRule="auto"/>
    </w:pPr>
  </w:style>
  <w:style w:type="paragraph" w:styleId="NoSpacing">
    <w:name w:val="No Spacing"/>
    <w:rsid w:val="00AC57E7"/>
    <w:pPr>
      <w:spacing w:after="0" w:line="240" w:lineRule="auto"/>
    </w:pPr>
  </w:style>
  <w:style w:type="character" w:styleId="UnresolvedMention">
    <w:name w:val="Unresolved Mention"/>
    <w:basedOn w:val="DefaultParagraphFont"/>
    <w:uiPriority w:val="99"/>
    <w:semiHidden/>
    <w:unhideWhenUsed/>
    <w:rsid w:val="006C6E98"/>
    <w:rPr>
      <w:color w:val="605E5C"/>
      <w:shd w:val="clear" w:color="auto" w:fill="E1DFDD"/>
    </w:rPr>
  </w:style>
  <w:style w:type="table" w:styleId="TableGrid">
    <w:name w:val="Table Grid"/>
    <w:basedOn w:val="TableNormal"/>
    <w:uiPriority w:val="39"/>
    <w:rsid w:val="002B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02849"/>
    <w:rPr>
      <w:sz w:val="20"/>
      <w:szCs w:val="20"/>
    </w:rPr>
  </w:style>
  <w:style w:type="character" w:customStyle="1" w:styleId="EndnoteTextChar">
    <w:name w:val="Endnote Text Char"/>
    <w:basedOn w:val="DefaultParagraphFont"/>
    <w:link w:val="EndnoteText"/>
    <w:semiHidden/>
    <w:rsid w:val="00E02849"/>
    <w:rPr>
      <w:sz w:val="20"/>
      <w:szCs w:val="20"/>
    </w:rPr>
  </w:style>
  <w:style w:type="character" w:styleId="EndnoteReference">
    <w:name w:val="endnote reference"/>
    <w:basedOn w:val="DefaultParagraphFont"/>
    <w:semiHidden/>
    <w:unhideWhenUsed/>
    <w:rsid w:val="00E028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682">
      <w:bodyDiv w:val="1"/>
      <w:marLeft w:val="0"/>
      <w:marRight w:val="0"/>
      <w:marTop w:val="0"/>
      <w:marBottom w:val="0"/>
      <w:divBdr>
        <w:top w:val="none" w:sz="0" w:space="0" w:color="auto"/>
        <w:left w:val="none" w:sz="0" w:space="0" w:color="auto"/>
        <w:bottom w:val="none" w:sz="0" w:space="0" w:color="auto"/>
        <w:right w:val="none" w:sz="0" w:space="0" w:color="auto"/>
      </w:divBdr>
    </w:div>
    <w:div w:id="112134026">
      <w:bodyDiv w:val="1"/>
      <w:marLeft w:val="0"/>
      <w:marRight w:val="0"/>
      <w:marTop w:val="0"/>
      <w:marBottom w:val="0"/>
      <w:divBdr>
        <w:top w:val="none" w:sz="0" w:space="0" w:color="auto"/>
        <w:left w:val="none" w:sz="0" w:space="0" w:color="auto"/>
        <w:bottom w:val="none" w:sz="0" w:space="0" w:color="auto"/>
        <w:right w:val="none" w:sz="0" w:space="0" w:color="auto"/>
      </w:divBdr>
    </w:div>
    <w:div w:id="129907502">
      <w:bodyDiv w:val="1"/>
      <w:marLeft w:val="0"/>
      <w:marRight w:val="0"/>
      <w:marTop w:val="0"/>
      <w:marBottom w:val="0"/>
      <w:divBdr>
        <w:top w:val="none" w:sz="0" w:space="0" w:color="auto"/>
        <w:left w:val="none" w:sz="0" w:space="0" w:color="auto"/>
        <w:bottom w:val="none" w:sz="0" w:space="0" w:color="auto"/>
        <w:right w:val="none" w:sz="0" w:space="0" w:color="auto"/>
      </w:divBdr>
    </w:div>
    <w:div w:id="155655548">
      <w:bodyDiv w:val="1"/>
      <w:marLeft w:val="0"/>
      <w:marRight w:val="0"/>
      <w:marTop w:val="0"/>
      <w:marBottom w:val="0"/>
      <w:divBdr>
        <w:top w:val="none" w:sz="0" w:space="0" w:color="auto"/>
        <w:left w:val="none" w:sz="0" w:space="0" w:color="auto"/>
        <w:bottom w:val="none" w:sz="0" w:space="0" w:color="auto"/>
        <w:right w:val="none" w:sz="0" w:space="0" w:color="auto"/>
      </w:divBdr>
    </w:div>
    <w:div w:id="291207201">
      <w:bodyDiv w:val="1"/>
      <w:marLeft w:val="0"/>
      <w:marRight w:val="0"/>
      <w:marTop w:val="0"/>
      <w:marBottom w:val="0"/>
      <w:divBdr>
        <w:top w:val="none" w:sz="0" w:space="0" w:color="auto"/>
        <w:left w:val="none" w:sz="0" w:space="0" w:color="auto"/>
        <w:bottom w:val="none" w:sz="0" w:space="0" w:color="auto"/>
        <w:right w:val="none" w:sz="0" w:space="0" w:color="auto"/>
      </w:divBdr>
    </w:div>
    <w:div w:id="296767966">
      <w:bodyDiv w:val="1"/>
      <w:marLeft w:val="0"/>
      <w:marRight w:val="0"/>
      <w:marTop w:val="0"/>
      <w:marBottom w:val="0"/>
      <w:divBdr>
        <w:top w:val="none" w:sz="0" w:space="0" w:color="auto"/>
        <w:left w:val="none" w:sz="0" w:space="0" w:color="auto"/>
        <w:bottom w:val="none" w:sz="0" w:space="0" w:color="auto"/>
        <w:right w:val="none" w:sz="0" w:space="0" w:color="auto"/>
      </w:divBdr>
    </w:div>
    <w:div w:id="340544553">
      <w:bodyDiv w:val="1"/>
      <w:marLeft w:val="0"/>
      <w:marRight w:val="0"/>
      <w:marTop w:val="0"/>
      <w:marBottom w:val="0"/>
      <w:divBdr>
        <w:top w:val="none" w:sz="0" w:space="0" w:color="auto"/>
        <w:left w:val="none" w:sz="0" w:space="0" w:color="auto"/>
        <w:bottom w:val="none" w:sz="0" w:space="0" w:color="auto"/>
        <w:right w:val="none" w:sz="0" w:space="0" w:color="auto"/>
      </w:divBdr>
    </w:div>
    <w:div w:id="372117463">
      <w:bodyDiv w:val="1"/>
      <w:marLeft w:val="0"/>
      <w:marRight w:val="0"/>
      <w:marTop w:val="0"/>
      <w:marBottom w:val="0"/>
      <w:divBdr>
        <w:top w:val="none" w:sz="0" w:space="0" w:color="auto"/>
        <w:left w:val="none" w:sz="0" w:space="0" w:color="auto"/>
        <w:bottom w:val="none" w:sz="0" w:space="0" w:color="auto"/>
        <w:right w:val="none" w:sz="0" w:space="0" w:color="auto"/>
      </w:divBdr>
    </w:div>
    <w:div w:id="509562185">
      <w:bodyDiv w:val="1"/>
      <w:marLeft w:val="0"/>
      <w:marRight w:val="0"/>
      <w:marTop w:val="0"/>
      <w:marBottom w:val="0"/>
      <w:divBdr>
        <w:top w:val="none" w:sz="0" w:space="0" w:color="auto"/>
        <w:left w:val="none" w:sz="0" w:space="0" w:color="auto"/>
        <w:bottom w:val="none" w:sz="0" w:space="0" w:color="auto"/>
        <w:right w:val="none" w:sz="0" w:space="0" w:color="auto"/>
      </w:divBdr>
    </w:div>
    <w:div w:id="581766811">
      <w:bodyDiv w:val="1"/>
      <w:marLeft w:val="0"/>
      <w:marRight w:val="0"/>
      <w:marTop w:val="0"/>
      <w:marBottom w:val="0"/>
      <w:divBdr>
        <w:top w:val="none" w:sz="0" w:space="0" w:color="auto"/>
        <w:left w:val="none" w:sz="0" w:space="0" w:color="auto"/>
        <w:bottom w:val="none" w:sz="0" w:space="0" w:color="auto"/>
        <w:right w:val="none" w:sz="0" w:space="0" w:color="auto"/>
      </w:divBdr>
    </w:div>
    <w:div w:id="714161893">
      <w:bodyDiv w:val="1"/>
      <w:marLeft w:val="0"/>
      <w:marRight w:val="0"/>
      <w:marTop w:val="0"/>
      <w:marBottom w:val="0"/>
      <w:divBdr>
        <w:top w:val="none" w:sz="0" w:space="0" w:color="auto"/>
        <w:left w:val="none" w:sz="0" w:space="0" w:color="auto"/>
        <w:bottom w:val="none" w:sz="0" w:space="0" w:color="auto"/>
        <w:right w:val="none" w:sz="0" w:space="0" w:color="auto"/>
      </w:divBdr>
    </w:div>
    <w:div w:id="743644502">
      <w:bodyDiv w:val="1"/>
      <w:marLeft w:val="0"/>
      <w:marRight w:val="0"/>
      <w:marTop w:val="0"/>
      <w:marBottom w:val="0"/>
      <w:divBdr>
        <w:top w:val="none" w:sz="0" w:space="0" w:color="auto"/>
        <w:left w:val="none" w:sz="0" w:space="0" w:color="auto"/>
        <w:bottom w:val="none" w:sz="0" w:space="0" w:color="auto"/>
        <w:right w:val="none" w:sz="0" w:space="0" w:color="auto"/>
      </w:divBdr>
      <w:divsChild>
        <w:div w:id="4525780">
          <w:marLeft w:val="0"/>
          <w:marRight w:val="0"/>
          <w:marTop w:val="0"/>
          <w:marBottom w:val="0"/>
          <w:divBdr>
            <w:top w:val="none" w:sz="0" w:space="0" w:color="auto"/>
            <w:left w:val="none" w:sz="0" w:space="0" w:color="auto"/>
            <w:bottom w:val="none" w:sz="0" w:space="0" w:color="auto"/>
            <w:right w:val="none" w:sz="0" w:space="0" w:color="auto"/>
          </w:divBdr>
        </w:div>
        <w:div w:id="1872036845">
          <w:marLeft w:val="0"/>
          <w:marRight w:val="0"/>
          <w:marTop w:val="0"/>
          <w:marBottom w:val="0"/>
          <w:divBdr>
            <w:top w:val="none" w:sz="0" w:space="0" w:color="auto"/>
            <w:left w:val="none" w:sz="0" w:space="0" w:color="auto"/>
            <w:bottom w:val="none" w:sz="0" w:space="0" w:color="auto"/>
            <w:right w:val="none" w:sz="0" w:space="0" w:color="auto"/>
          </w:divBdr>
        </w:div>
      </w:divsChild>
    </w:div>
    <w:div w:id="800462037">
      <w:bodyDiv w:val="1"/>
      <w:marLeft w:val="0"/>
      <w:marRight w:val="0"/>
      <w:marTop w:val="0"/>
      <w:marBottom w:val="0"/>
      <w:divBdr>
        <w:top w:val="none" w:sz="0" w:space="0" w:color="auto"/>
        <w:left w:val="none" w:sz="0" w:space="0" w:color="auto"/>
        <w:bottom w:val="none" w:sz="0" w:space="0" w:color="auto"/>
        <w:right w:val="none" w:sz="0" w:space="0" w:color="auto"/>
      </w:divBdr>
    </w:div>
    <w:div w:id="877090894">
      <w:bodyDiv w:val="1"/>
      <w:marLeft w:val="0"/>
      <w:marRight w:val="0"/>
      <w:marTop w:val="0"/>
      <w:marBottom w:val="0"/>
      <w:divBdr>
        <w:top w:val="none" w:sz="0" w:space="0" w:color="auto"/>
        <w:left w:val="none" w:sz="0" w:space="0" w:color="auto"/>
        <w:bottom w:val="none" w:sz="0" w:space="0" w:color="auto"/>
        <w:right w:val="none" w:sz="0" w:space="0" w:color="auto"/>
      </w:divBdr>
    </w:div>
    <w:div w:id="894197571">
      <w:bodyDiv w:val="1"/>
      <w:marLeft w:val="0"/>
      <w:marRight w:val="0"/>
      <w:marTop w:val="0"/>
      <w:marBottom w:val="0"/>
      <w:divBdr>
        <w:top w:val="none" w:sz="0" w:space="0" w:color="auto"/>
        <w:left w:val="none" w:sz="0" w:space="0" w:color="auto"/>
        <w:bottom w:val="none" w:sz="0" w:space="0" w:color="auto"/>
        <w:right w:val="none" w:sz="0" w:space="0" w:color="auto"/>
      </w:divBdr>
    </w:div>
    <w:div w:id="934820461">
      <w:bodyDiv w:val="1"/>
      <w:marLeft w:val="0"/>
      <w:marRight w:val="0"/>
      <w:marTop w:val="0"/>
      <w:marBottom w:val="0"/>
      <w:divBdr>
        <w:top w:val="none" w:sz="0" w:space="0" w:color="auto"/>
        <w:left w:val="none" w:sz="0" w:space="0" w:color="auto"/>
        <w:bottom w:val="none" w:sz="0" w:space="0" w:color="auto"/>
        <w:right w:val="none" w:sz="0" w:space="0" w:color="auto"/>
      </w:divBdr>
    </w:div>
    <w:div w:id="961350636">
      <w:bodyDiv w:val="1"/>
      <w:marLeft w:val="0"/>
      <w:marRight w:val="0"/>
      <w:marTop w:val="0"/>
      <w:marBottom w:val="0"/>
      <w:divBdr>
        <w:top w:val="none" w:sz="0" w:space="0" w:color="auto"/>
        <w:left w:val="none" w:sz="0" w:space="0" w:color="auto"/>
        <w:bottom w:val="none" w:sz="0" w:space="0" w:color="auto"/>
        <w:right w:val="none" w:sz="0" w:space="0" w:color="auto"/>
      </w:divBdr>
    </w:div>
    <w:div w:id="1067990591">
      <w:bodyDiv w:val="1"/>
      <w:marLeft w:val="0"/>
      <w:marRight w:val="0"/>
      <w:marTop w:val="0"/>
      <w:marBottom w:val="0"/>
      <w:divBdr>
        <w:top w:val="none" w:sz="0" w:space="0" w:color="auto"/>
        <w:left w:val="none" w:sz="0" w:space="0" w:color="auto"/>
        <w:bottom w:val="none" w:sz="0" w:space="0" w:color="auto"/>
        <w:right w:val="none" w:sz="0" w:space="0" w:color="auto"/>
      </w:divBdr>
    </w:div>
    <w:div w:id="1145852749">
      <w:bodyDiv w:val="1"/>
      <w:marLeft w:val="0"/>
      <w:marRight w:val="0"/>
      <w:marTop w:val="0"/>
      <w:marBottom w:val="0"/>
      <w:divBdr>
        <w:top w:val="none" w:sz="0" w:space="0" w:color="auto"/>
        <w:left w:val="none" w:sz="0" w:space="0" w:color="auto"/>
        <w:bottom w:val="none" w:sz="0" w:space="0" w:color="auto"/>
        <w:right w:val="none" w:sz="0" w:space="0" w:color="auto"/>
      </w:divBdr>
    </w:div>
    <w:div w:id="1228683345">
      <w:bodyDiv w:val="1"/>
      <w:marLeft w:val="0"/>
      <w:marRight w:val="0"/>
      <w:marTop w:val="0"/>
      <w:marBottom w:val="0"/>
      <w:divBdr>
        <w:top w:val="none" w:sz="0" w:space="0" w:color="auto"/>
        <w:left w:val="none" w:sz="0" w:space="0" w:color="auto"/>
        <w:bottom w:val="none" w:sz="0" w:space="0" w:color="auto"/>
        <w:right w:val="none" w:sz="0" w:space="0" w:color="auto"/>
      </w:divBdr>
    </w:div>
    <w:div w:id="1378242486">
      <w:bodyDiv w:val="1"/>
      <w:marLeft w:val="0"/>
      <w:marRight w:val="0"/>
      <w:marTop w:val="0"/>
      <w:marBottom w:val="0"/>
      <w:divBdr>
        <w:top w:val="none" w:sz="0" w:space="0" w:color="auto"/>
        <w:left w:val="none" w:sz="0" w:space="0" w:color="auto"/>
        <w:bottom w:val="none" w:sz="0" w:space="0" w:color="auto"/>
        <w:right w:val="none" w:sz="0" w:space="0" w:color="auto"/>
      </w:divBdr>
    </w:div>
    <w:div w:id="1456219199">
      <w:bodyDiv w:val="1"/>
      <w:marLeft w:val="0"/>
      <w:marRight w:val="0"/>
      <w:marTop w:val="0"/>
      <w:marBottom w:val="0"/>
      <w:divBdr>
        <w:top w:val="none" w:sz="0" w:space="0" w:color="auto"/>
        <w:left w:val="none" w:sz="0" w:space="0" w:color="auto"/>
        <w:bottom w:val="none" w:sz="0" w:space="0" w:color="auto"/>
        <w:right w:val="none" w:sz="0" w:space="0" w:color="auto"/>
      </w:divBdr>
    </w:div>
    <w:div w:id="1504123410">
      <w:bodyDiv w:val="1"/>
      <w:marLeft w:val="0"/>
      <w:marRight w:val="0"/>
      <w:marTop w:val="0"/>
      <w:marBottom w:val="0"/>
      <w:divBdr>
        <w:top w:val="none" w:sz="0" w:space="0" w:color="auto"/>
        <w:left w:val="none" w:sz="0" w:space="0" w:color="auto"/>
        <w:bottom w:val="none" w:sz="0" w:space="0" w:color="auto"/>
        <w:right w:val="none" w:sz="0" w:space="0" w:color="auto"/>
      </w:divBdr>
      <w:divsChild>
        <w:div w:id="1996489221">
          <w:marLeft w:val="0"/>
          <w:marRight w:val="0"/>
          <w:marTop w:val="0"/>
          <w:marBottom w:val="0"/>
          <w:divBdr>
            <w:top w:val="none" w:sz="0" w:space="0" w:color="auto"/>
            <w:left w:val="none" w:sz="0" w:space="0" w:color="auto"/>
            <w:bottom w:val="none" w:sz="0" w:space="0" w:color="auto"/>
            <w:right w:val="none" w:sz="0" w:space="0" w:color="auto"/>
          </w:divBdr>
        </w:div>
      </w:divsChild>
    </w:div>
    <w:div w:id="1606376016">
      <w:bodyDiv w:val="1"/>
      <w:marLeft w:val="0"/>
      <w:marRight w:val="0"/>
      <w:marTop w:val="0"/>
      <w:marBottom w:val="0"/>
      <w:divBdr>
        <w:top w:val="none" w:sz="0" w:space="0" w:color="auto"/>
        <w:left w:val="none" w:sz="0" w:space="0" w:color="auto"/>
        <w:bottom w:val="none" w:sz="0" w:space="0" w:color="auto"/>
        <w:right w:val="none" w:sz="0" w:space="0" w:color="auto"/>
      </w:divBdr>
    </w:div>
    <w:div w:id="1663047647">
      <w:bodyDiv w:val="1"/>
      <w:marLeft w:val="0"/>
      <w:marRight w:val="0"/>
      <w:marTop w:val="0"/>
      <w:marBottom w:val="0"/>
      <w:divBdr>
        <w:top w:val="none" w:sz="0" w:space="0" w:color="auto"/>
        <w:left w:val="none" w:sz="0" w:space="0" w:color="auto"/>
        <w:bottom w:val="none" w:sz="0" w:space="0" w:color="auto"/>
        <w:right w:val="none" w:sz="0" w:space="0" w:color="auto"/>
      </w:divBdr>
    </w:div>
    <w:div w:id="1663774302">
      <w:bodyDiv w:val="1"/>
      <w:marLeft w:val="0"/>
      <w:marRight w:val="0"/>
      <w:marTop w:val="0"/>
      <w:marBottom w:val="0"/>
      <w:divBdr>
        <w:top w:val="none" w:sz="0" w:space="0" w:color="auto"/>
        <w:left w:val="none" w:sz="0" w:space="0" w:color="auto"/>
        <w:bottom w:val="none" w:sz="0" w:space="0" w:color="auto"/>
        <w:right w:val="none" w:sz="0" w:space="0" w:color="auto"/>
      </w:divBdr>
    </w:div>
    <w:div w:id="1747417102">
      <w:bodyDiv w:val="1"/>
      <w:marLeft w:val="0"/>
      <w:marRight w:val="0"/>
      <w:marTop w:val="0"/>
      <w:marBottom w:val="0"/>
      <w:divBdr>
        <w:top w:val="none" w:sz="0" w:space="0" w:color="auto"/>
        <w:left w:val="none" w:sz="0" w:space="0" w:color="auto"/>
        <w:bottom w:val="none" w:sz="0" w:space="0" w:color="auto"/>
        <w:right w:val="none" w:sz="0" w:space="0" w:color="auto"/>
      </w:divBdr>
    </w:div>
    <w:div w:id="1752115274">
      <w:bodyDiv w:val="1"/>
      <w:marLeft w:val="0"/>
      <w:marRight w:val="0"/>
      <w:marTop w:val="0"/>
      <w:marBottom w:val="0"/>
      <w:divBdr>
        <w:top w:val="none" w:sz="0" w:space="0" w:color="auto"/>
        <w:left w:val="none" w:sz="0" w:space="0" w:color="auto"/>
        <w:bottom w:val="none" w:sz="0" w:space="0" w:color="auto"/>
        <w:right w:val="none" w:sz="0" w:space="0" w:color="auto"/>
      </w:divBdr>
    </w:div>
    <w:div w:id="1811677391">
      <w:bodyDiv w:val="1"/>
      <w:marLeft w:val="0"/>
      <w:marRight w:val="0"/>
      <w:marTop w:val="0"/>
      <w:marBottom w:val="0"/>
      <w:divBdr>
        <w:top w:val="none" w:sz="0" w:space="0" w:color="auto"/>
        <w:left w:val="none" w:sz="0" w:space="0" w:color="auto"/>
        <w:bottom w:val="none" w:sz="0" w:space="0" w:color="auto"/>
        <w:right w:val="none" w:sz="0" w:space="0" w:color="auto"/>
      </w:divBdr>
    </w:div>
    <w:div w:id="1866138454">
      <w:bodyDiv w:val="1"/>
      <w:marLeft w:val="0"/>
      <w:marRight w:val="0"/>
      <w:marTop w:val="0"/>
      <w:marBottom w:val="0"/>
      <w:divBdr>
        <w:top w:val="none" w:sz="0" w:space="0" w:color="auto"/>
        <w:left w:val="none" w:sz="0" w:space="0" w:color="auto"/>
        <w:bottom w:val="none" w:sz="0" w:space="0" w:color="auto"/>
        <w:right w:val="none" w:sz="0" w:space="0" w:color="auto"/>
      </w:divBdr>
      <w:divsChild>
        <w:div w:id="2126533397">
          <w:marLeft w:val="0"/>
          <w:marRight w:val="0"/>
          <w:marTop w:val="0"/>
          <w:marBottom w:val="0"/>
          <w:divBdr>
            <w:top w:val="none" w:sz="0" w:space="0" w:color="auto"/>
            <w:left w:val="none" w:sz="0" w:space="0" w:color="auto"/>
            <w:bottom w:val="none" w:sz="0" w:space="0" w:color="auto"/>
            <w:right w:val="none" w:sz="0" w:space="0" w:color="auto"/>
          </w:divBdr>
        </w:div>
      </w:divsChild>
    </w:div>
    <w:div w:id="2115854786">
      <w:bodyDiv w:val="1"/>
      <w:marLeft w:val="0"/>
      <w:marRight w:val="0"/>
      <w:marTop w:val="0"/>
      <w:marBottom w:val="0"/>
      <w:divBdr>
        <w:top w:val="none" w:sz="0" w:space="0" w:color="auto"/>
        <w:left w:val="none" w:sz="0" w:space="0" w:color="auto"/>
        <w:bottom w:val="none" w:sz="0" w:space="0" w:color="auto"/>
        <w:right w:val="none" w:sz="0" w:space="0" w:color="auto"/>
      </w:divBdr>
      <w:divsChild>
        <w:div w:id="42973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oaklandnet.com/oakca1/groups/police/documents/webcontent/oak069158.pdf" TargetMode="External"/><Relationship Id="rId18" Type="http://schemas.openxmlformats.org/officeDocument/2006/relationships/chart" Target="charts/chart4.xml"/><Relationship Id="rId26" Type="http://schemas.openxmlformats.org/officeDocument/2006/relationships/hyperlink" Target="https://sparq.stanford.edu/opd-reports" TargetMode="External"/><Relationship Id="rId39" Type="http://schemas.openxmlformats.org/officeDocument/2006/relationships/theme" Target="theme/theme1.xml"/><Relationship Id="rId21" Type="http://schemas.openxmlformats.org/officeDocument/2006/relationships/chart" Target="charts/chart7.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6.xml"/><Relationship Id="rId29" Type="http://schemas.openxmlformats.org/officeDocument/2006/relationships/hyperlink" Target="mailto:officeofthemayor@oaklandne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oftheMayor@oaklandnet.com" TargetMode="External"/><Relationship Id="rId24" Type="http://schemas.openxmlformats.org/officeDocument/2006/relationships/chart" Target="charts/chart10.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hyperlink" Target="https://sparq.stanford.edu/opd-report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image" Target="media/image3.png"/><Relationship Id="rId30" Type="http://schemas.openxmlformats.org/officeDocument/2006/relationships/chart" Target="charts/chart12.xm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1"/>
        <c:ser>
          <c:idx val="0"/>
          <c:order val="0"/>
          <c:tx>
            <c:strRef>
              <c:f>Sheet1!$B$1</c:f>
              <c:strCache>
                <c:ptCount val="1"/>
                <c:pt idx="0">
                  <c:v>Column1</c:v>
                </c:pt>
              </c:strCache>
            </c:strRef>
          </c:tx>
          <c:invertIfNegative val="0"/>
          <c:dPt>
            <c:idx val="0"/>
            <c:invertIfNegative val="0"/>
            <c:bubble3D val="0"/>
            <c:spPr>
              <a:solidFill>
                <a:schemeClr val="accent1">
                  <a:tint val="39000"/>
                </a:schemeClr>
              </a:solidFill>
              <a:ln>
                <a:noFill/>
              </a:ln>
              <a:effectLst/>
            </c:spPr>
            <c:extLst>
              <c:ext xmlns:c16="http://schemas.microsoft.com/office/drawing/2014/chart" uri="{C3380CC4-5D6E-409C-BE32-E72D297353CC}">
                <c16:uniqueId val="{00000001-962F-496B-BE07-251E88C425AB}"/>
              </c:ext>
            </c:extLst>
          </c:dPt>
          <c:dPt>
            <c:idx val="1"/>
            <c:invertIfNegative val="0"/>
            <c:bubble3D val="0"/>
            <c:spPr>
              <a:solidFill>
                <a:schemeClr val="accent1">
                  <a:tint val="48000"/>
                </a:schemeClr>
              </a:solidFill>
              <a:ln>
                <a:noFill/>
              </a:ln>
              <a:effectLst/>
            </c:spPr>
            <c:extLst>
              <c:ext xmlns:c16="http://schemas.microsoft.com/office/drawing/2014/chart" uri="{C3380CC4-5D6E-409C-BE32-E72D297353CC}">
                <c16:uniqueId val="{00000003-962F-496B-BE07-251E88C425AB}"/>
              </c:ext>
            </c:extLst>
          </c:dPt>
          <c:dPt>
            <c:idx val="2"/>
            <c:invertIfNegative val="0"/>
            <c:bubble3D val="0"/>
            <c:spPr>
              <a:solidFill>
                <a:schemeClr val="accent1">
                  <a:tint val="57000"/>
                </a:schemeClr>
              </a:solidFill>
              <a:ln>
                <a:noFill/>
              </a:ln>
              <a:effectLst/>
            </c:spPr>
            <c:extLst>
              <c:ext xmlns:c16="http://schemas.microsoft.com/office/drawing/2014/chart" uri="{C3380CC4-5D6E-409C-BE32-E72D297353CC}">
                <c16:uniqueId val="{00000005-962F-496B-BE07-251E88C425AB}"/>
              </c:ext>
            </c:extLst>
          </c:dPt>
          <c:dPt>
            <c:idx val="3"/>
            <c:invertIfNegative val="0"/>
            <c:bubble3D val="0"/>
            <c:spPr>
              <a:solidFill>
                <a:schemeClr val="accent1">
                  <a:tint val="65000"/>
                </a:schemeClr>
              </a:solidFill>
              <a:ln>
                <a:noFill/>
              </a:ln>
              <a:effectLst/>
            </c:spPr>
            <c:extLst>
              <c:ext xmlns:c16="http://schemas.microsoft.com/office/drawing/2014/chart" uri="{C3380CC4-5D6E-409C-BE32-E72D297353CC}">
                <c16:uniqueId val="{00000007-962F-496B-BE07-251E88C425AB}"/>
              </c:ext>
            </c:extLst>
          </c:dPt>
          <c:dPt>
            <c:idx val="4"/>
            <c:invertIfNegative val="0"/>
            <c:bubble3D val="0"/>
            <c:spPr>
              <a:solidFill>
                <a:schemeClr val="accent1">
                  <a:tint val="74000"/>
                </a:schemeClr>
              </a:solidFill>
              <a:ln>
                <a:noFill/>
              </a:ln>
              <a:effectLst/>
            </c:spPr>
            <c:extLst>
              <c:ext xmlns:c16="http://schemas.microsoft.com/office/drawing/2014/chart" uri="{C3380CC4-5D6E-409C-BE32-E72D297353CC}">
                <c16:uniqueId val="{00000009-F080-4179-974F-724B01520B4A}"/>
              </c:ext>
            </c:extLst>
          </c:dPt>
          <c:dPt>
            <c:idx val="5"/>
            <c:invertIfNegative val="0"/>
            <c:bubble3D val="0"/>
            <c:spPr>
              <a:solidFill>
                <a:schemeClr val="accent1">
                  <a:tint val="83000"/>
                </a:schemeClr>
              </a:solidFill>
              <a:ln>
                <a:noFill/>
              </a:ln>
              <a:effectLst/>
            </c:spPr>
            <c:extLst>
              <c:ext xmlns:c16="http://schemas.microsoft.com/office/drawing/2014/chart" uri="{C3380CC4-5D6E-409C-BE32-E72D297353CC}">
                <c16:uniqueId val="{0000000B-F080-4179-974F-724B01520B4A}"/>
              </c:ext>
            </c:extLst>
          </c:dPt>
          <c:dPt>
            <c:idx val="6"/>
            <c:invertIfNegative val="0"/>
            <c:bubble3D val="0"/>
            <c:spPr>
              <a:solidFill>
                <a:schemeClr val="accent1">
                  <a:tint val="92000"/>
                </a:schemeClr>
              </a:solidFill>
              <a:ln>
                <a:noFill/>
              </a:ln>
              <a:effectLst/>
            </c:spPr>
            <c:extLst>
              <c:ext xmlns:c16="http://schemas.microsoft.com/office/drawing/2014/chart" uri="{C3380CC4-5D6E-409C-BE32-E72D297353CC}">
                <c16:uniqueId val="{0000000D-F080-4179-974F-724B01520B4A}"/>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F080-4179-974F-724B01520B4A}"/>
              </c:ext>
            </c:extLst>
          </c:dPt>
          <c:dPt>
            <c:idx val="8"/>
            <c:invertIfNegative val="0"/>
            <c:bubble3D val="0"/>
            <c:spPr>
              <a:solidFill>
                <a:schemeClr val="accent1">
                  <a:shade val="91000"/>
                </a:schemeClr>
              </a:solidFill>
              <a:ln>
                <a:noFill/>
              </a:ln>
              <a:effectLst/>
            </c:spPr>
            <c:extLst>
              <c:ext xmlns:c16="http://schemas.microsoft.com/office/drawing/2014/chart" uri="{C3380CC4-5D6E-409C-BE32-E72D297353CC}">
                <c16:uniqueId val="{00000011-F080-4179-974F-724B01520B4A}"/>
              </c:ext>
            </c:extLst>
          </c:dPt>
          <c:dPt>
            <c:idx val="9"/>
            <c:invertIfNegative val="0"/>
            <c:bubble3D val="0"/>
            <c:spPr>
              <a:solidFill>
                <a:schemeClr val="accent1">
                  <a:shade val="82000"/>
                </a:schemeClr>
              </a:solidFill>
              <a:ln>
                <a:noFill/>
              </a:ln>
              <a:effectLst/>
            </c:spPr>
            <c:extLst>
              <c:ext xmlns:c16="http://schemas.microsoft.com/office/drawing/2014/chart" uri="{C3380CC4-5D6E-409C-BE32-E72D297353CC}">
                <c16:uniqueId val="{00000013-F080-4179-974F-724B01520B4A}"/>
              </c:ext>
            </c:extLst>
          </c:dPt>
          <c:dPt>
            <c:idx val="10"/>
            <c:invertIfNegative val="0"/>
            <c:bubble3D val="0"/>
            <c:spPr>
              <a:solidFill>
                <a:schemeClr val="accent1">
                  <a:shade val="73000"/>
                </a:schemeClr>
              </a:solidFill>
              <a:ln>
                <a:noFill/>
              </a:ln>
              <a:effectLst/>
            </c:spPr>
            <c:extLst>
              <c:ext xmlns:c16="http://schemas.microsoft.com/office/drawing/2014/chart" uri="{C3380CC4-5D6E-409C-BE32-E72D297353CC}">
                <c16:uniqueId val="{00000015-F080-4179-974F-724B01520B4A}"/>
              </c:ext>
            </c:extLst>
          </c:dPt>
          <c:dPt>
            <c:idx val="11"/>
            <c:invertIfNegative val="0"/>
            <c:bubble3D val="0"/>
            <c:spPr>
              <a:solidFill>
                <a:schemeClr val="accent1">
                  <a:shade val="65000"/>
                </a:schemeClr>
              </a:solidFill>
              <a:ln>
                <a:noFill/>
              </a:ln>
              <a:effectLst/>
            </c:spPr>
            <c:extLst>
              <c:ext xmlns:c16="http://schemas.microsoft.com/office/drawing/2014/chart" uri="{C3380CC4-5D6E-409C-BE32-E72D297353CC}">
                <c16:uniqueId val="{00000017-F080-4179-974F-724B01520B4A}"/>
              </c:ext>
            </c:extLst>
          </c:dPt>
          <c:dPt>
            <c:idx val="12"/>
            <c:invertIfNegative val="0"/>
            <c:bubble3D val="0"/>
            <c:spPr>
              <a:solidFill>
                <a:schemeClr val="accent1">
                  <a:shade val="56000"/>
                </a:schemeClr>
              </a:solidFill>
              <a:ln>
                <a:noFill/>
              </a:ln>
              <a:effectLst/>
            </c:spPr>
            <c:extLst>
              <c:ext xmlns:c16="http://schemas.microsoft.com/office/drawing/2014/chart" uri="{C3380CC4-5D6E-409C-BE32-E72D297353CC}">
                <c16:uniqueId val="{00000019-F080-4179-974F-724B01520B4A}"/>
              </c:ext>
            </c:extLst>
          </c:dPt>
          <c:dPt>
            <c:idx val="13"/>
            <c:invertIfNegative val="0"/>
            <c:bubble3D val="0"/>
            <c:spPr>
              <a:solidFill>
                <a:schemeClr val="accent1">
                  <a:shade val="47000"/>
                </a:schemeClr>
              </a:solidFill>
              <a:ln>
                <a:noFill/>
              </a:ln>
              <a:effectLst/>
            </c:spPr>
            <c:extLst>
              <c:ext xmlns:c16="http://schemas.microsoft.com/office/drawing/2014/chart" uri="{C3380CC4-5D6E-409C-BE32-E72D297353CC}">
                <c16:uniqueId val="{0000001B-F080-4179-974F-724B01520B4A}"/>
              </c:ext>
            </c:extLst>
          </c:dPt>
          <c:dPt>
            <c:idx val="14"/>
            <c:invertIfNegative val="0"/>
            <c:bubble3D val="0"/>
            <c:spPr>
              <a:solidFill>
                <a:schemeClr val="accent1">
                  <a:shade val="38000"/>
                </a:schemeClr>
              </a:solidFill>
              <a:ln>
                <a:noFill/>
              </a:ln>
              <a:effectLst/>
            </c:spPr>
            <c:extLst>
              <c:ext xmlns:c16="http://schemas.microsoft.com/office/drawing/2014/chart" uri="{C3380CC4-5D6E-409C-BE32-E72D297353CC}">
                <c16:uniqueId val="{0000001D-F080-4179-974F-724B01520B4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Sheet1!$A$2:$A$16</c:f>
              <c:strCache>
                <c:ptCount val="15"/>
                <c:pt idx="0">
                  <c:v>Jan-Jun 2012</c:v>
                </c:pt>
                <c:pt idx="1">
                  <c:v>Jul-Dec 2012</c:v>
                </c:pt>
                <c:pt idx="2">
                  <c:v>Jan-Jun 2013</c:v>
                </c:pt>
                <c:pt idx="3">
                  <c:v>Jul-Dec 2013</c:v>
                </c:pt>
                <c:pt idx="4">
                  <c:v>Jan-Jun 2014</c:v>
                </c:pt>
                <c:pt idx="5">
                  <c:v>Jul-Dec 2014</c:v>
                </c:pt>
                <c:pt idx="6">
                  <c:v>Jan-Jun 2015</c:v>
                </c:pt>
                <c:pt idx="7">
                  <c:v>Jul-Dec 2015</c:v>
                </c:pt>
                <c:pt idx="8">
                  <c:v>Jan-Jun 2016</c:v>
                </c:pt>
                <c:pt idx="9">
                  <c:v>Jul-Dec 2016</c:v>
                </c:pt>
                <c:pt idx="10">
                  <c:v>Jan-Jun 2017</c:v>
                </c:pt>
                <c:pt idx="11">
                  <c:v>Jul-Dec 2017</c:v>
                </c:pt>
                <c:pt idx="12">
                  <c:v>Jan-Jun 2018</c:v>
                </c:pt>
                <c:pt idx="13">
                  <c:v>Jul-Dec 2018</c:v>
                </c:pt>
                <c:pt idx="14">
                  <c:v>Jan-Jun 2019</c:v>
                </c:pt>
              </c:strCache>
            </c:strRef>
          </c:cat>
          <c:val>
            <c:numRef>
              <c:f>Sheet1!$B$2:$B$16</c:f>
              <c:numCache>
                <c:formatCode>_(* #,##0_);_(* \(#,##0\);_(* "-"??_);_(@_)</c:formatCode>
                <c:ptCount val="15"/>
                <c:pt idx="0">
                  <c:v>1192</c:v>
                </c:pt>
                <c:pt idx="1">
                  <c:v>1400</c:v>
                </c:pt>
                <c:pt idx="2">
                  <c:v>990</c:v>
                </c:pt>
                <c:pt idx="3">
                  <c:v>543</c:v>
                </c:pt>
                <c:pt idx="4">
                  <c:v>496</c:v>
                </c:pt>
                <c:pt idx="5">
                  <c:v>569</c:v>
                </c:pt>
                <c:pt idx="6">
                  <c:v>528</c:v>
                </c:pt>
                <c:pt idx="7">
                  <c:v>482</c:v>
                </c:pt>
                <c:pt idx="8">
                  <c:v>591</c:v>
                </c:pt>
                <c:pt idx="9">
                  <c:v>595</c:v>
                </c:pt>
                <c:pt idx="10">
                  <c:v>588</c:v>
                </c:pt>
                <c:pt idx="11">
                  <c:v>668</c:v>
                </c:pt>
                <c:pt idx="12">
                  <c:v>685</c:v>
                </c:pt>
                <c:pt idx="13">
                  <c:v>715</c:v>
                </c:pt>
                <c:pt idx="14">
                  <c:v>639</c:v>
                </c:pt>
              </c:numCache>
            </c:numRef>
          </c:val>
          <c:extLst>
            <c:ext xmlns:c16="http://schemas.microsoft.com/office/drawing/2014/chart" uri="{C3380CC4-5D6E-409C-BE32-E72D297353CC}">
              <c16:uniqueId val="{00000009-962F-496B-BE07-251E88C425AB}"/>
            </c:ext>
          </c:extLst>
        </c:ser>
        <c:dLbls>
          <c:showLegendKey val="0"/>
          <c:showVal val="0"/>
          <c:showCatName val="0"/>
          <c:showSerName val="0"/>
          <c:showPercent val="0"/>
          <c:showBubbleSize val="0"/>
        </c:dLbls>
        <c:gapWidth val="150"/>
        <c:axId val="5244784"/>
        <c:axId val="132794736"/>
      </c:barChart>
      <c:catAx>
        <c:axId val="524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2794736"/>
        <c:crosses val="autoZero"/>
        <c:auto val="1"/>
        <c:lblAlgn val="ctr"/>
        <c:lblOffset val="100"/>
        <c:noMultiLvlLbl val="0"/>
      </c:catAx>
      <c:valAx>
        <c:axId val="132794736"/>
        <c:scaling>
          <c:orientation val="minMax"/>
          <c:max val="1500"/>
        </c:scaling>
        <c:delete val="0"/>
        <c:axPos val="l"/>
        <c:majorGridlines>
          <c:spPr>
            <a:ln w="9525" cap="flat" cmpd="sng" algn="ctr">
              <a:solidFill>
                <a:schemeClr val="tx1">
                  <a:lumMod val="15000"/>
                  <a:lumOff val="85000"/>
                </a:schemeClr>
              </a:solidFill>
              <a:prstDash val="solid"/>
              <a:round/>
            </a:ln>
            <a:effectLst/>
          </c:spPr>
        </c:majorGridlines>
        <c:numFmt formatCode="_(* #,##0_);_(* \(#,##0\);_(* &quot;-&quot;??_);_(@_)"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244784"/>
        <c:crosses val="autoZero"/>
        <c:crossBetween val="between"/>
        <c:majorUnit val="100"/>
      </c:valAx>
      <c:spPr>
        <a:solidFill>
          <a:schemeClr val="bg1"/>
        </a:solidFill>
        <a:ln>
          <a:noFill/>
        </a:ln>
        <a:effectLst/>
      </c:spPr>
    </c:plotArea>
    <c:plotVisOnly val="1"/>
    <c:dispBlanksAs val="gap"/>
    <c:showDLblsOverMax val="0"/>
  </c:chart>
  <c:spPr>
    <a:noFill/>
    <a:ln w="9525"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OPD</a:t>
            </a:r>
            <a:r>
              <a:rPr lang="en-US" b="1" baseline="0"/>
              <a:t> Sworn Employees</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637841729960746"/>
          <c:y val="0.17033157372182409"/>
          <c:w val="0.71411438614420986"/>
          <c:h val="0.6694947925891481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Sheet3!$J$28:$J$34</c:f>
              <c:strCache>
                <c:ptCount val="7"/>
                <c:pt idx="0">
                  <c:v>Asian</c:v>
                </c:pt>
                <c:pt idx="1">
                  <c:v>Black or African American</c:v>
                </c:pt>
                <c:pt idx="2">
                  <c:v>Filipino</c:v>
                </c:pt>
                <c:pt idx="3">
                  <c:v>Hispanic or Latino</c:v>
                </c:pt>
                <c:pt idx="4">
                  <c:v>Native American</c:v>
                </c:pt>
                <c:pt idx="5">
                  <c:v>Undeclared/Other</c:v>
                </c:pt>
                <c:pt idx="6">
                  <c:v>White or Caucasian</c:v>
                </c:pt>
              </c:strCache>
            </c:strRef>
          </c:cat>
          <c:val>
            <c:numRef>
              <c:f>Sheet3!$K$28:$K$34</c:f>
              <c:numCache>
                <c:formatCode>General</c:formatCode>
                <c:ptCount val="7"/>
                <c:pt idx="0">
                  <c:v>96</c:v>
                </c:pt>
                <c:pt idx="1">
                  <c:v>126</c:v>
                </c:pt>
                <c:pt idx="2">
                  <c:v>26</c:v>
                </c:pt>
                <c:pt idx="3">
                  <c:v>203</c:v>
                </c:pt>
                <c:pt idx="4">
                  <c:v>3</c:v>
                </c:pt>
                <c:pt idx="5">
                  <c:v>18</c:v>
                </c:pt>
                <c:pt idx="6">
                  <c:v>277</c:v>
                </c:pt>
              </c:numCache>
            </c:numRef>
          </c:val>
          <c:extLst>
            <c:ext xmlns:c16="http://schemas.microsoft.com/office/drawing/2014/chart" uri="{C3380CC4-5D6E-409C-BE32-E72D297353CC}">
              <c16:uniqueId val="{00000000-8643-44A7-99F0-6AA9D08DB8F0}"/>
            </c:ext>
          </c:extLst>
        </c:ser>
        <c:ser>
          <c:idx val="1"/>
          <c:order val="1"/>
          <c:spPr>
            <a:solidFill>
              <a:schemeClr val="accent2"/>
            </a:solidFill>
            <a:ln>
              <a:noFill/>
            </a:ln>
            <a:effectLst/>
          </c:spPr>
          <c:invertIfNegative val="0"/>
          <c:dLbls>
            <c:dLbl>
              <c:idx val="0"/>
              <c:layout>
                <c:manualLayout>
                  <c:x val="2.7791138434443696E-3"/>
                  <c:y val="-1.5896669147131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43-44A7-99F0-6AA9D08DB8F0}"/>
                </c:ext>
              </c:extLst>
            </c:dLbl>
            <c:dLbl>
              <c:idx val="1"/>
              <c:layout>
                <c:manualLayout>
                  <c:x val="2.7791138434443696E-3"/>
                  <c:y val="-1.19225018603484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43-44A7-99F0-6AA9D08DB8F0}"/>
                </c:ext>
              </c:extLst>
            </c:dLbl>
            <c:dLbl>
              <c:idx val="2"/>
              <c:layout>
                <c:manualLayout>
                  <c:x val="0"/>
                  <c:y val="-7.94833457356559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43-44A7-99F0-6AA9D08DB8F0}"/>
                </c:ext>
              </c:extLst>
            </c:dLbl>
            <c:dLbl>
              <c:idx val="3"/>
              <c:layout>
                <c:manualLayout>
                  <c:x val="0"/>
                  <c:y val="-7.94833457356559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43-44A7-99F0-6AA9D08DB8F0}"/>
                </c:ext>
              </c:extLst>
            </c:dLbl>
            <c:dLbl>
              <c:idx val="4"/>
              <c:layout>
                <c:manualLayout>
                  <c:x val="3.6053336376693784E-17"/>
                  <c:y val="-1.89554395588191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43-44A7-99F0-6AA9D08DB8F0}"/>
                </c:ext>
              </c:extLst>
            </c:dLbl>
            <c:dLbl>
              <c:idx val="5"/>
              <c:layout>
                <c:manualLayout>
                  <c:x val="0"/>
                  <c:y val="-1.58966691471311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43-44A7-99F0-6AA9D08DB8F0}"/>
                </c:ext>
              </c:extLst>
            </c:dLbl>
            <c:dLbl>
              <c:idx val="6"/>
              <c:layout>
                <c:manualLayout>
                  <c:x val="-5.5671537926235215E-3"/>
                  <c:y val="-7.94833457356560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43-44A7-99F0-6AA9D08DB8F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Sheet3!$J$28:$J$34</c:f>
              <c:strCache>
                <c:ptCount val="7"/>
                <c:pt idx="0">
                  <c:v>Asian</c:v>
                </c:pt>
                <c:pt idx="1">
                  <c:v>Black or African American</c:v>
                </c:pt>
                <c:pt idx="2">
                  <c:v>Filipino</c:v>
                </c:pt>
                <c:pt idx="3">
                  <c:v>Hispanic or Latino</c:v>
                </c:pt>
                <c:pt idx="4">
                  <c:v>Native American</c:v>
                </c:pt>
                <c:pt idx="5">
                  <c:v>Undeclared/Other</c:v>
                </c:pt>
                <c:pt idx="6">
                  <c:v>White or Caucasian</c:v>
                </c:pt>
              </c:strCache>
            </c:strRef>
          </c:cat>
          <c:val>
            <c:numRef>
              <c:f>Sheet3!$L$28:$L$34</c:f>
              <c:numCache>
                <c:formatCode>0.0%</c:formatCode>
                <c:ptCount val="7"/>
                <c:pt idx="0">
                  <c:v>0.12817089452603472</c:v>
                </c:pt>
                <c:pt idx="1">
                  <c:v>0.16822429906542055</c:v>
                </c:pt>
                <c:pt idx="2">
                  <c:v>3.4712950600801068E-2</c:v>
                </c:pt>
                <c:pt idx="3">
                  <c:v>0.27102803738317754</c:v>
                </c:pt>
                <c:pt idx="4">
                  <c:v>4.0053404539385851E-3</c:v>
                </c:pt>
                <c:pt idx="5">
                  <c:v>2.4032042723631509E-2</c:v>
                </c:pt>
                <c:pt idx="6">
                  <c:v>0.36982643524699599</c:v>
                </c:pt>
              </c:numCache>
            </c:numRef>
          </c:val>
          <c:extLst>
            <c:ext xmlns:c16="http://schemas.microsoft.com/office/drawing/2014/chart" uri="{C3380CC4-5D6E-409C-BE32-E72D297353CC}">
              <c16:uniqueId val="{00000008-8643-44A7-99F0-6AA9D08DB8F0}"/>
            </c:ext>
          </c:extLst>
        </c:ser>
        <c:dLbls>
          <c:dLblPos val="outEnd"/>
          <c:showLegendKey val="0"/>
          <c:showVal val="1"/>
          <c:showCatName val="0"/>
          <c:showSerName val="0"/>
          <c:showPercent val="0"/>
          <c:showBubbleSize val="0"/>
        </c:dLbls>
        <c:gapWidth val="182"/>
        <c:axId val="782188208"/>
        <c:axId val="782183616"/>
      </c:barChart>
      <c:catAx>
        <c:axId val="78218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82183616"/>
        <c:crosses val="autoZero"/>
        <c:auto val="1"/>
        <c:lblAlgn val="ctr"/>
        <c:lblOffset val="100"/>
        <c:noMultiLvlLbl val="0"/>
      </c:catAx>
      <c:valAx>
        <c:axId val="782183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188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NSA</a:t>
            </a:r>
            <a:r>
              <a:rPr lang="en-US" baseline="0"/>
              <a:t> Task Status</a:t>
            </a:r>
            <a:endParaRPr lang="en-US"/>
          </a:p>
        </c:rich>
      </c:tx>
      <c:layout>
        <c:manualLayout>
          <c:xMode val="edge"/>
          <c:yMode val="edge"/>
          <c:x val="0.40616712228478857"/>
          <c:y val="3.319502074688796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246471037501405"/>
          <c:y val="8.3435582822085894E-2"/>
          <c:w val="0.78689028716314446"/>
          <c:h val="0.802707888507801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Sheet1!$C$3:$C$5</c:f>
              <c:strCache>
                <c:ptCount val="3"/>
                <c:pt idx="0">
                  <c:v>In compliance</c:v>
                </c:pt>
                <c:pt idx="1">
                  <c:v>Partial compliance</c:v>
                </c:pt>
                <c:pt idx="2">
                  <c:v>Out of compliance</c:v>
                </c:pt>
              </c:strCache>
            </c:strRef>
          </c:cat>
          <c:val>
            <c:numRef>
              <c:f>Sheet1!$D$3:$D$5</c:f>
              <c:numCache>
                <c:formatCode>General</c:formatCode>
                <c:ptCount val="3"/>
                <c:pt idx="0">
                  <c:v>44</c:v>
                </c:pt>
                <c:pt idx="1">
                  <c:v>4</c:v>
                </c:pt>
                <c:pt idx="2">
                  <c:v>3</c:v>
                </c:pt>
              </c:numCache>
            </c:numRef>
          </c:val>
          <c:extLst>
            <c:ext xmlns:c16="http://schemas.microsoft.com/office/drawing/2014/chart" uri="{C3380CC4-5D6E-409C-BE32-E72D297353CC}">
              <c16:uniqueId val="{00000000-0898-4DBC-B480-41310182CD0C}"/>
            </c:ext>
          </c:extLst>
        </c:ser>
        <c:dLbls>
          <c:dLblPos val="outEnd"/>
          <c:showLegendKey val="0"/>
          <c:showVal val="1"/>
          <c:showCatName val="0"/>
          <c:showSerName val="0"/>
          <c:showPercent val="0"/>
          <c:showBubbleSize val="0"/>
        </c:dLbls>
        <c:gapWidth val="182"/>
        <c:axId val="594273264"/>
        <c:axId val="594273592"/>
      </c:barChart>
      <c:catAx>
        <c:axId val="594273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273592"/>
        <c:crosses val="autoZero"/>
        <c:auto val="1"/>
        <c:lblAlgn val="ctr"/>
        <c:lblOffset val="100"/>
        <c:noMultiLvlLbl val="0"/>
      </c:catAx>
      <c:valAx>
        <c:axId val="594273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273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327286522812968E-2"/>
          <c:y val="1.8947698460898006E-2"/>
          <c:w val="0.88997359843293922"/>
          <c:h val="0.78773039433313263"/>
        </c:manualLayout>
      </c:layout>
      <c:barChart>
        <c:barDir val="col"/>
        <c:grouping val="stacked"/>
        <c:varyColors val="0"/>
        <c:ser>
          <c:idx val="0"/>
          <c:order val="0"/>
          <c:tx>
            <c:strRef>
              <c:f>Sheet1!$B$1</c:f>
              <c:strCache>
                <c:ptCount val="1"/>
                <c:pt idx="0">
                  <c:v>Administratively Closed</c:v>
                </c:pt>
              </c:strCache>
            </c:strRef>
          </c:tx>
          <c:spPr>
            <a:solidFill>
              <a:schemeClr val="tx2">
                <a:lumMod val="20000"/>
                <a:lumOff val="80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Sheet1!$A$2:$A$16</c:f>
              <c:strCache>
                <c:ptCount val="15"/>
                <c:pt idx="0">
                  <c:v>Jan-Jun 2012</c:v>
                </c:pt>
                <c:pt idx="1">
                  <c:v>Jul-Dec 2012</c:v>
                </c:pt>
                <c:pt idx="2">
                  <c:v>Jan-Jun 2013</c:v>
                </c:pt>
                <c:pt idx="3">
                  <c:v>Jul-Dec 2013</c:v>
                </c:pt>
                <c:pt idx="4">
                  <c:v>Jan-Jun 2014</c:v>
                </c:pt>
                <c:pt idx="5">
                  <c:v>Jul-Dec 2014</c:v>
                </c:pt>
                <c:pt idx="6">
                  <c:v>Jan-Jun 2015</c:v>
                </c:pt>
                <c:pt idx="7">
                  <c:v>Jul-Dec 2015</c:v>
                </c:pt>
                <c:pt idx="8">
                  <c:v>Jan-Jun 2016</c:v>
                </c:pt>
                <c:pt idx="9">
                  <c:v>Jul-Dec 2016</c:v>
                </c:pt>
                <c:pt idx="10">
                  <c:v>Jan-Jun 2017</c:v>
                </c:pt>
                <c:pt idx="11">
                  <c:v>Jul-Dec 2017</c:v>
                </c:pt>
                <c:pt idx="12">
                  <c:v>Jan-Jun 2018</c:v>
                </c:pt>
                <c:pt idx="13">
                  <c:v>Jul-Dec 2018</c:v>
                </c:pt>
                <c:pt idx="14">
                  <c:v>Jan-Jun 2019</c:v>
                </c:pt>
              </c:strCache>
            </c:strRef>
          </c:cat>
          <c:val>
            <c:numRef>
              <c:f>Sheet1!$B$2:$B$16</c:f>
              <c:numCache>
                <c:formatCode>General</c:formatCode>
                <c:ptCount val="15"/>
                <c:pt idx="0">
                  <c:v>655</c:v>
                </c:pt>
                <c:pt idx="1">
                  <c:v>973</c:v>
                </c:pt>
                <c:pt idx="2">
                  <c:v>717</c:v>
                </c:pt>
                <c:pt idx="3">
                  <c:v>415</c:v>
                </c:pt>
                <c:pt idx="4">
                  <c:v>331</c:v>
                </c:pt>
                <c:pt idx="5">
                  <c:v>447</c:v>
                </c:pt>
                <c:pt idx="6">
                  <c:v>433</c:v>
                </c:pt>
                <c:pt idx="7">
                  <c:v>348</c:v>
                </c:pt>
                <c:pt idx="8">
                  <c:v>499</c:v>
                </c:pt>
                <c:pt idx="9">
                  <c:v>509</c:v>
                </c:pt>
                <c:pt idx="10" formatCode="0">
                  <c:v>401</c:v>
                </c:pt>
                <c:pt idx="11" formatCode="0">
                  <c:v>364</c:v>
                </c:pt>
                <c:pt idx="12" formatCode="0">
                  <c:v>472</c:v>
                </c:pt>
                <c:pt idx="13" formatCode="0">
                  <c:v>574</c:v>
                </c:pt>
                <c:pt idx="14" formatCode="0">
                  <c:v>544</c:v>
                </c:pt>
              </c:numCache>
            </c:numRef>
          </c:val>
          <c:extLst>
            <c:ext xmlns:c16="http://schemas.microsoft.com/office/drawing/2014/chart" uri="{C3380CC4-5D6E-409C-BE32-E72D297353CC}">
              <c16:uniqueId val="{00000000-48F9-4CBF-861D-F47C1D6DBC7B}"/>
            </c:ext>
          </c:extLst>
        </c:ser>
        <c:ser>
          <c:idx val="1"/>
          <c:order val="1"/>
          <c:tx>
            <c:strRef>
              <c:f>Sheet1!$C$1</c:f>
              <c:strCache>
                <c:ptCount val="1"/>
                <c:pt idx="0">
                  <c:v>Sustained</c:v>
                </c:pt>
              </c:strCache>
            </c:strRef>
          </c:tx>
          <c:spPr>
            <a:ln>
              <a:solidFill>
                <a:schemeClr val="tx1"/>
              </a:solidFill>
            </a:ln>
          </c:spPr>
          <c:invertIfNegative val="0"/>
          <c:dLbls>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Sheet1!$A$2:$A$16</c:f>
              <c:strCache>
                <c:ptCount val="15"/>
                <c:pt idx="0">
                  <c:v>Jan-Jun 2012</c:v>
                </c:pt>
                <c:pt idx="1">
                  <c:v>Jul-Dec 2012</c:v>
                </c:pt>
                <c:pt idx="2">
                  <c:v>Jan-Jun 2013</c:v>
                </c:pt>
                <c:pt idx="3">
                  <c:v>Jul-Dec 2013</c:v>
                </c:pt>
                <c:pt idx="4">
                  <c:v>Jan-Jun 2014</c:v>
                </c:pt>
                <c:pt idx="5">
                  <c:v>Jul-Dec 2014</c:v>
                </c:pt>
                <c:pt idx="6">
                  <c:v>Jan-Jun 2015</c:v>
                </c:pt>
                <c:pt idx="7">
                  <c:v>Jul-Dec 2015</c:v>
                </c:pt>
                <c:pt idx="8">
                  <c:v>Jan-Jun 2016</c:v>
                </c:pt>
                <c:pt idx="9">
                  <c:v>Jul-Dec 2016</c:v>
                </c:pt>
                <c:pt idx="10">
                  <c:v>Jan-Jun 2017</c:v>
                </c:pt>
                <c:pt idx="11">
                  <c:v>Jul-Dec 2017</c:v>
                </c:pt>
                <c:pt idx="12">
                  <c:v>Jan-Jun 2018</c:v>
                </c:pt>
                <c:pt idx="13">
                  <c:v>Jul-Dec 2018</c:v>
                </c:pt>
                <c:pt idx="14">
                  <c:v>Jan-Jun 2019</c:v>
                </c:pt>
              </c:strCache>
            </c:strRef>
          </c:cat>
          <c:val>
            <c:numRef>
              <c:f>Sheet1!$C$2:$C$16</c:f>
              <c:numCache>
                <c:formatCode>General</c:formatCode>
                <c:ptCount val="15"/>
                <c:pt idx="0">
                  <c:v>142</c:v>
                </c:pt>
                <c:pt idx="1">
                  <c:v>87</c:v>
                </c:pt>
                <c:pt idx="2">
                  <c:v>80</c:v>
                </c:pt>
                <c:pt idx="3">
                  <c:v>48</c:v>
                </c:pt>
                <c:pt idx="4">
                  <c:v>83</c:v>
                </c:pt>
                <c:pt idx="5">
                  <c:v>61</c:v>
                </c:pt>
                <c:pt idx="6">
                  <c:v>60</c:v>
                </c:pt>
                <c:pt idx="7">
                  <c:v>110</c:v>
                </c:pt>
                <c:pt idx="8">
                  <c:v>90</c:v>
                </c:pt>
                <c:pt idx="9">
                  <c:v>110</c:v>
                </c:pt>
                <c:pt idx="10" formatCode="0">
                  <c:v>68</c:v>
                </c:pt>
                <c:pt idx="11" formatCode="0">
                  <c:v>47</c:v>
                </c:pt>
                <c:pt idx="12" formatCode="0">
                  <c:v>70</c:v>
                </c:pt>
                <c:pt idx="13" formatCode="0">
                  <c:v>108</c:v>
                </c:pt>
                <c:pt idx="14" formatCode="0">
                  <c:v>123</c:v>
                </c:pt>
              </c:numCache>
            </c:numRef>
          </c:val>
          <c:extLst>
            <c:ext xmlns:c16="http://schemas.microsoft.com/office/drawing/2014/chart" uri="{C3380CC4-5D6E-409C-BE32-E72D297353CC}">
              <c16:uniqueId val="{00000001-48F9-4CBF-861D-F47C1D6DBC7B}"/>
            </c:ext>
          </c:extLst>
        </c:ser>
        <c:ser>
          <c:idx val="2"/>
          <c:order val="2"/>
          <c:tx>
            <c:strRef>
              <c:f>Sheet1!$D$1</c:f>
              <c:strCache>
                <c:ptCount val="1"/>
                <c:pt idx="0">
                  <c:v>Not Sustained</c:v>
                </c:pt>
              </c:strCache>
            </c:strRef>
          </c:tx>
          <c:spPr>
            <a:solidFill>
              <a:schemeClr val="accent3">
                <a:lumMod val="40000"/>
                <a:lumOff val="60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Sheet1!$A$2:$A$16</c:f>
              <c:strCache>
                <c:ptCount val="15"/>
                <c:pt idx="0">
                  <c:v>Jan-Jun 2012</c:v>
                </c:pt>
                <c:pt idx="1">
                  <c:v>Jul-Dec 2012</c:v>
                </c:pt>
                <c:pt idx="2">
                  <c:v>Jan-Jun 2013</c:v>
                </c:pt>
                <c:pt idx="3">
                  <c:v>Jul-Dec 2013</c:v>
                </c:pt>
                <c:pt idx="4">
                  <c:v>Jan-Jun 2014</c:v>
                </c:pt>
                <c:pt idx="5">
                  <c:v>Jul-Dec 2014</c:v>
                </c:pt>
                <c:pt idx="6">
                  <c:v>Jan-Jun 2015</c:v>
                </c:pt>
                <c:pt idx="7">
                  <c:v>Jul-Dec 2015</c:v>
                </c:pt>
                <c:pt idx="8">
                  <c:v>Jan-Jun 2016</c:v>
                </c:pt>
                <c:pt idx="9">
                  <c:v>Jul-Dec 2016</c:v>
                </c:pt>
                <c:pt idx="10">
                  <c:v>Jan-Jun 2017</c:v>
                </c:pt>
                <c:pt idx="11">
                  <c:v>Jul-Dec 2017</c:v>
                </c:pt>
                <c:pt idx="12">
                  <c:v>Jan-Jun 2018</c:v>
                </c:pt>
                <c:pt idx="13">
                  <c:v>Jul-Dec 2018</c:v>
                </c:pt>
                <c:pt idx="14">
                  <c:v>Jan-Jun 2019</c:v>
                </c:pt>
              </c:strCache>
            </c:strRef>
          </c:cat>
          <c:val>
            <c:numRef>
              <c:f>Sheet1!$D$2:$D$16</c:f>
              <c:numCache>
                <c:formatCode>General</c:formatCode>
                <c:ptCount val="15"/>
                <c:pt idx="0">
                  <c:v>334</c:v>
                </c:pt>
                <c:pt idx="1">
                  <c:v>145</c:v>
                </c:pt>
                <c:pt idx="2">
                  <c:v>95</c:v>
                </c:pt>
                <c:pt idx="3">
                  <c:v>53</c:v>
                </c:pt>
                <c:pt idx="4">
                  <c:v>39</c:v>
                </c:pt>
                <c:pt idx="5">
                  <c:v>47</c:v>
                </c:pt>
                <c:pt idx="6">
                  <c:v>31</c:v>
                </c:pt>
                <c:pt idx="7">
                  <c:v>68</c:v>
                </c:pt>
                <c:pt idx="8">
                  <c:v>64</c:v>
                </c:pt>
                <c:pt idx="9">
                  <c:v>64</c:v>
                </c:pt>
                <c:pt idx="10" formatCode="0">
                  <c:v>36</c:v>
                </c:pt>
                <c:pt idx="11" formatCode="0">
                  <c:v>25</c:v>
                </c:pt>
                <c:pt idx="12" formatCode="0">
                  <c:v>37</c:v>
                </c:pt>
                <c:pt idx="13" formatCode="0">
                  <c:v>53</c:v>
                </c:pt>
                <c:pt idx="14" formatCode="0">
                  <c:v>62</c:v>
                </c:pt>
              </c:numCache>
            </c:numRef>
          </c:val>
          <c:extLst>
            <c:ext xmlns:c16="http://schemas.microsoft.com/office/drawing/2014/chart" uri="{C3380CC4-5D6E-409C-BE32-E72D297353CC}">
              <c16:uniqueId val="{00000002-48F9-4CBF-861D-F47C1D6DBC7B}"/>
            </c:ext>
          </c:extLst>
        </c:ser>
        <c:ser>
          <c:idx val="3"/>
          <c:order val="3"/>
          <c:tx>
            <c:strRef>
              <c:f>Sheet1!$E$1</c:f>
              <c:strCache>
                <c:ptCount val="1"/>
                <c:pt idx="0">
                  <c:v>Unfounded</c:v>
                </c:pt>
              </c:strCache>
            </c:strRef>
          </c:tx>
          <c:spPr>
            <a:ln>
              <a:solidFill>
                <a:schemeClr val="tx1"/>
              </a:solidFill>
            </a:ln>
          </c:spPr>
          <c:invertIfNegative val="0"/>
          <c:dLbls>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Sheet1!$A$2:$A$16</c:f>
              <c:strCache>
                <c:ptCount val="15"/>
                <c:pt idx="0">
                  <c:v>Jan-Jun 2012</c:v>
                </c:pt>
                <c:pt idx="1">
                  <c:v>Jul-Dec 2012</c:v>
                </c:pt>
                <c:pt idx="2">
                  <c:v>Jan-Jun 2013</c:v>
                </c:pt>
                <c:pt idx="3">
                  <c:v>Jul-Dec 2013</c:v>
                </c:pt>
                <c:pt idx="4">
                  <c:v>Jan-Jun 2014</c:v>
                </c:pt>
                <c:pt idx="5">
                  <c:v>Jul-Dec 2014</c:v>
                </c:pt>
                <c:pt idx="6">
                  <c:v>Jan-Jun 2015</c:v>
                </c:pt>
                <c:pt idx="7">
                  <c:v>Jul-Dec 2015</c:v>
                </c:pt>
                <c:pt idx="8">
                  <c:v>Jan-Jun 2016</c:v>
                </c:pt>
                <c:pt idx="9">
                  <c:v>Jul-Dec 2016</c:v>
                </c:pt>
                <c:pt idx="10">
                  <c:v>Jan-Jun 2017</c:v>
                </c:pt>
                <c:pt idx="11">
                  <c:v>Jul-Dec 2017</c:v>
                </c:pt>
                <c:pt idx="12">
                  <c:v>Jan-Jun 2018</c:v>
                </c:pt>
                <c:pt idx="13">
                  <c:v>Jul-Dec 2018</c:v>
                </c:pt>
                <c:pt idx="14">
                  <c:v>Jan-Jun 2019</c:v>
                </c:pt>
              </c:strCache>
            </c:strRef>
          </c:cat>
          <c:val>
            <c:numRef>
              <c:f>Sheet1!$E$2:$E$16</c:f>
              <c:numCache>
                <c:formatCode>General</c:formatCode>
                <c:ptCount val="15"/>
                <c:pt idx="0">
                  <c:v>505</c:v>
                </c:pt>
                <c:pt idx="1">
                  <c:v>496</c:v>
                </c:pt>
                <c:pt idx="2">
                  <c:v>314</c:v>
                </c:pt>
                <c:pt idx="3">
                  <c:v>171</c:v>
                </c:pt>
                <c:pt idx="4">
                  <c:v>275</c:v>
                </c:pt>
                <c:pt idx="5">
                  <c:v>260</c:v>
                </c:pt>
                <c:pt idx="6">
                  <c:v>243</c:v>
                </c:pt>
                <c:pt idx="7">
                  <c:v>357</c:v>
                </c:pt>
                <c:pt idx="8">
                  <c:v>385</c:v>
                </c:pt>
                <c:pt idx="9">
                  <c:v>424</c:v>
                </c:pt>
                <c:pt idx="10" formatCode="0">
                  <c:v>366</c:v>
                </c:pt>
                <c:pt idx="11" formatCode="0">
                  <c:v>164</c:v>
                </c:pt>
                <c:pt idx="12" formatCode="0">
                  <c:v>144</c:v>
                </c:pt>
                <c:pt idx="13" formatCode="0">
                  <c:v>336</c:v>
                </c:pt>
                <c:pt idx="14" formatCode="0">
                  <c:v>368</c:v>
                </c:pt>
              </c:numCache>
            </c:numRef>
          </c:val>
          <c:extLst>
            <c:ext xmlns:c16="http://schemas.microsoft.com/office/drawing/2014/chart" uri="{C3380CC4-5D6E-409C-BE32-E72D297353CC}">
              <c16:uniqueId val="{00000003-48F9-4CBF-861D-F47C1D6DBC7B}"/>
            </c:ext>
          </c:extLst>
        </c:ser>
        <c:ser>
          <c:idx val="4"/>
          <c:order val="4"/>
          <c:tx>
            <c:strRef>
              <c:f>Sheet1!$F$1</c:f>
              <c:strCache>
                <c:ptCount val="1"/>
                <c:pt idx="0">
                  <c:v>Exonerated</c:v>
                </c:pt>
              </c:strCache>
            </c:strRef>
          </c:tx>
          <c:spPr>
            <a:solidFill>
              <a:schemeClr val="accent2">
                <a:lumMod val="40000"/>
                <a:lumOff val="60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Sheet1!$A$2:$A$16</c:f>
              <c:strCache>
                <c:ptCount val="15"/>
                <c:pt idx="0">
                  <c:v>Jan-Jun 2012</c:v>
                </c:pt>
                <c:pt idx="1">
                  <c:v>Jul-Dec 2012</c:v>
                </c:pt>
                <c:pt idx="2">
                  <c:v>Jan-Jun 2013</c:v>
                </c:pt>
                <c:pt idx="3">
                  <c:v>Jul-Dec 2013</c:v>
                </c:pt>
                <c:pt idx="4">
                  <c:v>Jan-Jun 2014</c:v>
                </c:pt>
                <c:pt idx="5">
                  <c:v>Jul-Dec 2014</c:v>
                </c:pt>
                <c:pt idx="6">
                  <c:v>Jan-Jun 2015</c:v>
                </c:pt>
                <c:pt idx="7">
                  <c:v>Jul-Dec 2015</c:v>
                </c:pt>
                <c:pt idx="8">
                  <c:v>Jan-Jun 2016</c:v>
                </c:pt>
                <c:pt idx="9">
                  <c:v>Jul-Dec 2016</c:v>
                </c:pt>
                <c:pt idx="10">
                  <c:v>Jan-Jun 2017</c:v>
                </c:pt>
                <c:pt idx="11">
                  <c:v>Jul-Dec 2017</c:v>
                </c:pt>
                <c:pt idx="12">
                  <c:v>Jan-Jun 2018</c:v>
                </c:pt>
                <c:pt idx="13">
                  <c:v>Jul-Dec 2018</c:v>
                </c:pt>
                <c:pt idx="14">
                  <c:v>Jan-Jun 2019</c:v>
                </c:pt>
              </c:strCache>
            </c:strRef>
          </c:cat>
          <c:val>
            <c:numRef>
              <c:f>Sheet1!$F$2:$F$16</c:f>
              <c:numCache>
                <c:formatCode>General</c:formatCode>
                <c:ptCount val="15"/>
                <c:pt idx="0">
                  <c:v>425</c:v>
                </c:pt>
                <c:pt idx="1">
                  <c:v>383</c:v>
                </c:pt>
                <c:pt idx="2">
                  <c:v>280</c:v>
                </c:pt>
                <c:pt idx="3">
                  <c:v>120</c:v>
                </c:pt>
                <c:pt idx="4">
                  <c:v>127</c:v>
                </c:pt>
                <c:pt idx="5">
                  <c:v>154</c:v>
                </c:pt>
                <c:pt idx="6">
                  <c:v>181</c:v>
                </c:pt>
                <c:pt idx="7">
                  <c:v>209</c:v>
                </c:pt>
                <c:pt idx="8">
                  <c:v>181</c:v>
                </c:pt>
                <c:pt idx="9">
                  <c:v>200</c:v>
                </c:pt>
                <c:pt idx="10" formatCode="0">
                  <c:v>181</c:v>
                </c:pt>
                <c:pt idx="11" formatCode="0">
                  <c:v>192</c:v>
                </c:pt>
                <c:pt idx="12" formatCode="0">
                  <c:v>100</c:v>
                </c:pt>
                <c:pt idx="13" formatCode="0">
                  <c:v>222</c:v>
                </c:pt>
                <c:pt idx="14" formatCode="0">
                  <c:v>336</c:v>
                </c:pt>
              </c:numCache>
            </c:numRef>
          </c:val>
          <c:extLst>
            <c:ext xmlns:c16="http://schemas.microsoft.com/office/drawing/2014/chart" uri="{C3380CC4-5D6E-409C-BE32-E72D297353CC}">
              <c16:uniqueId val="{00000004-48F9-4CBF-861D-F47C1D6DBC7B}"/>
            </c:ext>
          </c:extLst>
        </c:ser>
        <c:ser>
          <c:idx val="5"/>
          <c:order val="5"/>
          <c:tx>
            <c:strRef>
              <c:f>Sheet1!$G$1</c:f>
              <c:strCache>
                <c:ptCount val="1"/>
                <c:pt idx="0">
                  <c:v>Informally Resolved</c:v>
                </c:pt>
              </c:strCache>
            </c:strRef>
          </c:tx>
          <c:spPr>
            <a:ln>
              <a:solidFill>
                <a:schemeClr val="tx1"/>
              </a:solidFill>
            </a:ln>
          </c:spPr>
          <c:invertIfNegative val="0"/>
          <c:dLbls>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Sheet1!$A$2:$A$16</c:f>
              <c:strCache>
                <c:ptCount val="15"/>
                <c:pt idx="0">
                  <c:v>Jan-Jun 2012</c:v>
                </c:pt>
                <c:pt idx="1">
                  <c:v>Jul-Dec 2012</c:v>
                </c:pt>
                <c:pt idx="2">
                  <c:v>Jan-Jun 2013</c:v>
                </c:pt>
                <c:pt idx="3">
                  <c:v>Jul-Dec 2013</c:v>
                </c:pt>
                <c:pt idx="4">
                  <c:v>Jan-Jun 2014</c:v>
                </c:pt>
                <c:pt idx="5">
                  <c:v>Jul-Dec 2014</c:v>
                </c:pt>
                <c:pt idx="6">
                  <c:v>Jan-Jun 2015</c:v>
                </c:pt>
                <c:pt idx="7">
                  <c:v>Jul-Dec 2015</c:v>
                </c:pt>
                <c:pt idx="8">
                  <c:v>Jan-Jun 2016</c:v>
                </c:pt>
                <c:pt idx="9">
                  <c:v>Jul-Dec 2016</c:v>
                </c:pt>
                <c:pt idx="10">
                  <c:v>Jan-Jun 2017</c:v>
                </c:pt>
                <c:pt idx="11">
                  <c:v>Jul-Dec 2017</c:v>
                </c:pt>
                <c:pt idx="12">
                  <c:v>Jan-Jun 2018</c:v>
                </c:pt>
                <c:pt idx="13">
                  <c:v>Jul-Dec 2018</c:v>
                </c:pt>
                <c:pt idx="14">
                  <c:v>Jan-Jun 2019</c:v>
                </c:pt>
              </c:strCache>
            </c:strRef>
          </c:cat>
          <c:val>
            <c:numRef>
              <c:f>Sheet1!$G$2:$G$16</c:f>
              <c:numCache>
                <c:formatCode>General</c:formatCode>
                <c:ptCount val="15"/>
                <c:pt idx="0">
                  <c:v>188</c:v>
                </c:pt>
                <c:pt idx="1">
                  <c:v>135</c:v>
                </c:pt>
                <c:pt idx="2">
                  <c:v>69</c:v>
                </c:pt>
                <c:pt idx="3">
                  <c:v>40</c:v>
                </c:pt>
                <c:pt idx="4">
                  <c:v>27</c:v>
                </c:pt>
                <c:pt idx="5">
                  <c:v>49</c:v>
                </c:pt>
                <c:pt idx="6">
                  <c:v>36</c:v>
                </c:pt>
                <c:pt idx="7">
                  <c:v>32</c:v>
                </c:pt>
                <c:pt idx="8">
                  <c:v>37</c:v>
                </c:pt>
                <c:pt idx="9">
                  <c:v>35</c:v>
                </c:pt>
                <c:pt idx="10" formatCode="0">
                  <c:v>54</c:v>
                </c:pt>
                <c:pt idx="11" formatCode="0">
                  <c:v>24</c:v>
                </c:pt>
                <c:pt idx="12" formatCode="0">
                  <c:v>39</c:v>
                </c:pt>
                <c:pt idx="13" formatCode="0">
                  <c:v>47</c:v>
                </c:pt>
                <c:pt idx="14" formatCode="0">
                  <c:v>52</c:v>
                </c:pt>
              </c:numCache>
            </c:numRef>
          </c:val>
          <c:extLst>
            <c:ext xmlns:c16="http://schemas.microsoft.com/office/drawing/2014/chart" uri="{C3380CC4-5D6E-409C-BE32-E72D297353CC}">
              <c16:uniqueId val="{00000005-48F9-4CBF-861D-F47C1D6DBC7B}"/>
            </c:ext>
          </c:extLst>
        </c:ser>
        <c:dLbls>
          <c:showLegendKey val="0"/>
          <c:showVal val="0"/>
          <c:showCatName val="0"/>
          <c:showSerName val="0"/>
          <c:showPercent val="0"/>
          <c:showBubbleSize val="0"/>
        </c:dLbls>
        <c:gapWidth val="150"/>
        <c:overlap val="100"/>
        <c:axId val="133006984"/>
        <c:axId val="133007368"/>
      </c:barChart>
      <c:catAx>
        <c:axId val="133006984"/>
        <c:scaling>
          <c:orientation val="minMax"/>
        </c:scaling>
        <c:delete val="0"/>
        <c:axPos val="b"/>
        <c:numFmt formatCode="General" sourceLinked="0"/>
        <c:majorTickMark val="out"/>
        <c:minorTickMark val="none"/>
        <c:tickLblPos val="nextTo"/>
        <c:txPr>
          <a:bodyPr/>
          <a:lstStyle/>
          <a:p>
            <a:pPr>
              <a:defRPr sz="1200"/>
            </a:pPr>
            <a:endParaRPr lang="en-US"/>
          </a:p>
        </c:txPr>
        <c:crossAx val="133007368"/>
        <c:crosses val="autoZero"/>
        <c:auto val="1"/>
        <c:lblAlgn val="ctr"/>
        <c:lblOffset val="100"/>
        <c:noMultiLvlLbl val="0"/>
      </c:catAx>
      <c:valAx>
        <c:axId val="133007368"/>
        <c:scaling>
          <c:orientation val="minMax"/>
        </c:scaling>
        <c:delete val="0"/>
        <c:axPos val="l"/>
        <c:majorGridlines/>
        <c:numFmt formatCode="#,##0" sourceLinked="0"/>
        <c:majorTickMark val="out"/>
        <c:minorTickMark val="none"/>
        <c:tickLblPos val="nextTo"/>
        <c:txPr>
          <a:bodyPr/>
          <a:lstStyle/>
          <a:p>
            <a:pPr>
              <a:defRPr sz="1200"/>
            </a:pPr>
            <a:endParaRPr lang="en-US"/>
          </a:p>
        </c:txPr>
        <c:crossAx val="133006984"/>
        <c:crosses val="autoZero"/>
        <c:crossBetween val="between"/>
        <c:majorUnit val="250"/>
      </c:valAx>
    </c:plotArea>
    <c:legend>
      <c:legendPos val="b"/>
      <c:layout>
        <c:manualLayout>
          <c:xMode val="edge"/>
          <c:yMode val="edge"/>
          <c:x val="7.8427191720960132E-2"/>
          <c:y val="0.92073317085146622"/>
          <c:w val="0.85352875434231801"/>
          <c:h val="6.8815688232317068E-2"/>
        </c:manualLayout>
      </c:layout>
      <c:overlay val="0"/>
      <c:txPr>
        <a:bodyPr/>
        <a:lstStyle/>
        <a:p>
          <a:pPr>
            <a:defRPr sz="12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Sheet4!$F$2:$F$6</c:f>
              <c:strCache>
                <c:ptCount val="5"/>
                <c:pt idx="0">
                  <c:v>Performance of Duty</c:v>
                </c:pt>
                <c:pt idx="1">
                  <c:v>Use of Force</c:v>
                </c:pt>
                <c:pt idx="2">
                  <c:v>Other</c:v>
                </c:pt>
                <c:pt idx="3">
                  <c:v>Conduct Toward Others</c:v>
                </c:pt>
                <c:pt idx="4">
                  <c:v>Dept. Property</c:v>
                </c:pt>
              </c:strCache>
            </c:strRef>
          </c:cat>
          <c:val>
            <c:numRef>
              <c:f>Sheet4!$G$2:$G$6</c:f>
              <c:numCache>
                <c:formatCode>General</c:formatCode>
                <c:ptCount val="5"/>
                <c:pt idx="0">
                  <c:v>42</c:v>
                </c:pt>
                <c:pt idx="1">
                  <c:v>173</c:v>
                </c:pt>
                <c:pt idx="2">
                  <c:v>653</c:v>
                </c:pt>
                <c:pt idx="3">
                  <c:v>139</c:v>
                </c:pt>
                <c:pt idx="4">
                  <c:v>45</c:v>
                </c:pt>
              </c:numCache>
            </c:numRef>
          </c:val>
          <c:extLst>
            <c:ext xmlns:c16="http://schemas.microsoft.com/office/drawing/2014/chart" uri="{C3380CC4-5D6E-409C-BE32-E72D297353CC}">
              <c16:uniqueId val="{00000000-E9BB-4813-A3A3-54EE853A6F04}"/>
            </c:ext>
          </c:extLst>
        </c:ser>
        <c:dLbls>
          <c:dLblPos val="outEnd"/>
          <c:showLegendKey val="0"/>
          <c:showVal val="1"/>
          <c:showCatName val="0"/>
          <c:showSerName val="0"/>
          <c:showPercent val="0"/>
          <c:showBubbleSize val="0"/>
        </c:dLbls>
        <c:gapWidth val="182"/>
        <c:axId val="386177464"/>
        <c:axId val="386178776"/>
      </c:barChart>
      <c:catAx>
        <c:axId val="386177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386178776"/>
        <c:crosses val="autoZero"/>
        <c:auto val="1"/>
        <c:lblAlgn val="ctr"/>
        <c:lblOffset val="100"/>
        <c:noMultiLvlLbl val="0"/>
      </c:catAx>
      <c:valAx>
        <c:axId val="386178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177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en-US" b="1"/>
              <a:t>Disposition - Investigated Complaints</a:t>
            </a:r>
          </a:p>
        </c:rich>
      </c:tx>
      <c:layout>
        <c:manualLayout>
          <c:xMode val="edge"/>
          <c:yMode val="edge"/>
          <c:x val="0.22798600174978129"/>
          <c:y val="5.0925925925925923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Sheet5!$G$5:$G$10</c:f>
              <c:strCache>
                <c:ptCount val="5"/>
                <c:pt idx="0">
                  <c:v>Informally resolved</c:v>
                </c:pt>
                <c:pt idx="1">
                  <c:v>Exonerated</c:v>
                </c:pt>
                <c:pt idx="2">
                  <c:v>Unfounded</c:v>
                </c:pt>
                <c:pt idx="3">
                  <c:v>Not sustained</c:v>
                </c:pt>
                <c:pt idx="4">
                  <c:v>Sustained Misconduct</c:v>
                </c:pt>
              </c:strCache>
            </c:strRef>
          </c:cat>
          <c:val>
            <c:numRef>
              <c:f>Sheet5!$H$5:$H$10</c:f>
              <c:numCache>
                <c:formatCode>General</c:formatCode>
                <c:ptCount val="6"/>
                <c:pt idx="0">
                  <c:v>52</c:v>
                </c:pt>
                <c:pt idx="1">
                  <c:v>336</c:v>
                </c:pt>
                <c:pt idx="2">
                  <c:v>368</c:v>
                </c:pt>
                <c:pt idx="3">
                  <c:v>62</c:v>
                </c:pt>
                <c:pt idx="4">
                  <c:v>123</c:v>
                </c:pt>
              </c:numCache>
            </c:numRef>
          </c:val>
          <c:extLst>
            <c:ext xmlns:c16="http://schemas.microsoft.com/office/drawing/2014/chart" uri="{C3380CC4-5D6E-409C-BE32-E72D297353CC}">
              <c16:uniqueId val="{00000000-4AD8-4AA4-9E00-C385653699EE}"/>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Sheet5!$G$5:$G$10</c:f>
              <c:strCache>
                <c:ptCount val="5"/>
                <c:pt idx="0">
                  <c:v>Informally resolved</c:v>
                </c:pt>
                <c:pt idx="1">
                  <c:v>Exonerated</c:v>
                </c:pt>
                <c:pt idx="2">
                  <c:v>Unfounded</c:v>
                </c:pt>
                <c:pt idx="3">
                  <c:v>Not sustained</c:v>
                </c:pt>
                <c:pt idx="4">
                  <c:v>Sustained Misconduct</c:v>
                </c:pt>
              </c:strCache>
            </c:strRef>
          </c:cat>
          <c:val>
            <c:numRef>
              <c:f>Sheet5!$I$5:$I$10</c:f>
              <c:numCache>
                <c:formatCode>0.0%</c:formatCode>
                <c:ptCount val="6"/>
                <c:pt idx="0">
                  <c:v>5.526036131774708E-2</c:v>
                </c:pt>
                <c:pt idx="1">
                  <c:v>0.35706695005313499</c:v>
                </c:pt>
                <c:pt idx="2">
                  <c:v>0.39107332624867164</c:v>
                </c:pt>
                <c:pt idx="3">
                  <c:v>6.5887353878852278E-2</c:v>
                </c:pt>
                <c:pt idx="4">
                  <c:v>0.13071200850159406</c:v>
                </c:pt>
              </c:numCache>
            </c:numRef>
          </c:val>
          <c:extLst>
            <c:ext xmlns:c16="http://schemas.microsoft.com/office/drawing/2014/chart" uri="{C3380CC4-5D6E-409C-BE32-E72D297353CC}">
              <c16:uniqueId val="{00000001-4AD8-4AA4-9E00-C385653699EE}"/>
            </c:ext>
          </c:extLst>
        </c:ser>
        <c:dLbls>
          <c:dLblPos val="outEnd"/>
          <c:showLegendKey val="0"/>
          <c:showVal val="1"/>
          <c:showCatName val="0"/>
          <c:showSerName val="0"/>
          <c:showPercent val="0"/>
          <c:showBubbleSize val="0"/>
        </c:dLbls>
        <c:gapWidth val="182"/>
        <c:axId val="744986120"/>
        <c:axId val="744984152"/>
      </c:barChart>
      <c:catAx>
        <c:axId val="744986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744984152"/>
        <c:crosses val="autoZero"/>
        <c:auto val="1"/>
        <c:lblAlgn val="ctr"/>
        <c:lblOffset val="100"/>
        <c:noMultiLvlLbl val="0"/>
      </c:catAx>
      <c:valAx>
        <c:axId val="744984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986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Sustained Case Discipline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Sheet2!$B$2:$B$5</c:f>
              <c:strCache>
                <c:ptCount val="4"/>
                <c:pt idx="0">
                  <c:v>Termination</c:v>
                </c:pt>
                <c:pt idx="1">
                  <c:v>Written Reprimand</c:v>
                </c:pt>
                <c:pt idx="2">
                  <c:v>Suspension</c:v>
                </c:pt>
                <c:pt idx="3">
                  <c:v>Counseling/Training</c:v>
                </c:pt>
              </c:strCache>
            </c:strRef>
          </c:cat>
          <c:val>
            <c:numRef>
              <c:f>Sheet2!$C$2:$C$5</c:f>
              <c:numCache>
                <c:formatCode>General</c:formatCode>
                <c:ptCount val="4"/>
                <c:pt idx="0">
                  <c:v>1</c:v>
                </c:pt>
                <c:pt idx="1">
                  <c:v>44</c:v>
                </c:pt>
                <c:pt idx="2">
                  <c:v>26</c:v>
                </c:pt>
                <c:pt idx="3">
                  <c:v>40</c:v>
                </c:pt>
              </c:numCache>
            </c:numRef>
          </c:val>
          <c:extLst>
            <c:ext xmlns:c16="http://schemas.microsoft.com/office/drawing/2014/chart" uri="{C3380CC4-5D6E-409C-BE32-E72D297353CC}">
              <c16:uniqueId val="{00000000-84A5-4C70-8C2A-A08B8163901E}"/>
            </c:ext>
          </c:extLst>
        </c:ser>
        <c:ser>
          <c:idx val="1"/>
          <c:order val="1"/>
          <c:spPr>
            <a:no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Sheet2!$B$2:$B$5</c:f>
              <c:strCache>
                <c:ptCount val="4"/>
                <c:pt idx="0">
                  <c:v>Termination</c:v>
                </c:pt>
                <c:pt idx="1">
                  <c:v>Written Reprimand</c:v>
                </c:pt>
                <c:pt idx="2">
                  <c:v>Suspension</c:v>
                </c:pt>
                <c:pt idx="3">
                  <c:v>Counseling/Training</c:v>
                </c:pt>
              </c:strCache>
            </c:strRef>
          </c:cat>
          <c:val>
            <c:numRef>
              <c:f>Sheet2!$D$2:$D$5</c:f>
              <c:numCache>
                <c:formatCode>0%</c:formatCode>
                <c:ptCount val="4"/>
                <c:pt idx="0">
                  <c:v>9.0090090090090089E-3</c:v>
                </c:pt>
                <c:pt idx="1">
                  <c:v>0.3963963963963964</c:v>
                </c:pt>
                <c:pt idx="2">
                  <c:v>0.23423423423423423</c:v>
                </c:pt>
                <c:pt idx="3">
                  <c:v>0.36036036036036034</c:v>
                </c:pt>
              </c:numCache>
            </c:numRef>
          </c:val>
          <c:extLst>
            <c:ext xmlns:c16="http://schemas.microsoft.com/office/drawing/2014/chart" uri="{C3380CC4-5D6E-409C-BE32-E72D297353CC}">
              <c16:uniqueId val="{00000001-84A5-4C70-8C2A-A08B8163901E}"/>
            </c:ext>
          </c:extLst>
        </c:ser>
        <c:dLbls>
          <c:dLblPos val="outEnd"/>
          <c:showLegendKey val="0"/>
          <c:showVal val="1"/>
          <c:showCatName val="0"/>
          <c:showSerName val="0"/>
          <c:showPercent val="0"/>
          <c:showBubbleSize val="0"/>
        </c:dLbls>
        <c:gapWidth val="182"/>
        <c:axId val="495777112"/>
        <c:axId val="495778752"/>
      </c:barChart>
      <c:catAx>
        <c:axId val="495777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495778752"/>
        <c:crosses val="autoZero"/>
        <c:auto val="1"/>
        <c:lblAlgn val="ctr"/>
        <c:lblOffset val="100"/>
        <c:noMultiLvlLbl val="0"/>
      </c:catAx>
      <c:valAx>
        <c:axId val="495778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777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Sustained Misconduct Cases 2012 - Q1 2019</a:t>
            </a:r>
          </a:p>
        </c:rich>
      </c:tx>
      <c:layout>
        <c:manualLayout>
          <c:xMode val="edge"/>
          <c:yMode val="edge"/>
          <c:x val="0.29131776613242794"/>
          <c:y val="2.777777777777777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Sheet5!$D$1:$R$1</c:f>
              <c:numCache>
                <c:formatCode>General</c:formatCode>
                <c:ptCount val="15"/>
                <c:pt idx="0">
                  <c:v>2012</c:v>
                </c:pt>
                <c:pt idx="2">
                  <c:v>2013</c:v>
                </c:pt>
                <c:pt idx="4">
                  <c:v>2014</c:v>
                </c:pt>
                <c:pt idx="6">
                  <c:v>2015</c:v>
                </c:pt>
                <c:pt idx="8">
                  <c:v>2016</c:v>
                </c:pt>
                <c:pt idx="10">
                  <c:v>2017</c:v>
                </c:pt>
                <c:pt idx="12">
                  <c:v>2018</c:v>
                </c:pt>
                <c:pt idx="14">
                  <c:v>2019</c:v>
                </c:pt>
              </c:numCache>
            </c:numRef>
          </c:cat>
          <c:val>
            <c:numRef>
              <c:f>Sheet5!$D$2:$R$2</c:f>
              <c:numCache>
                <c:formatCode>General</c:formatCode>
                <c:ptCount val="15"/>
                <c:pt idx="0">
                  <c:v>137</c:v>
                </c:pt>
                <c:pt idx="1">
                  <c:v>87</c:v>
                </c:pt>
                <c:pt idx="2">
                  <c:v>55</c:v>
                </c:pt>
                <c:pt idx="3">
                  <c:v>49</c:v>
                </c:pt>
                <c:pt idx="4">
                  <c:v>85</c:v>
                </c:pt>
                <c:pt idx="5">
                  <c:v>60</c:v>
                </c:pt>
                <c:pt idx="6">
                  <c:v>54</c:v>
                </c:pt>
                <c:pt idx="7">
                  <c:v>69</c:v>
                </c:pt>
                <c:pt idx="8">
                  <c:v>75</c:v>
                </c:pt>
                <c:pt idx="9">
                  <c:v>79</c:v>
                </c:pt>
                <c:pt idx="10">
                  <c:v>62</c:v>
                </c:pt>
                <c:pt idx="11">
                  <c:v>46</c:v>
                </c:pt>
                <c:pt idx="12">
                  <c:v>86</c:v>
                </c:pt>
                <c:pt idx="13">
                  <c:v>96</c:v>
                </c:pt>
                <c:pt idx="14">
                  <c:v>111</c:v>
                </c:pt>
              </c:numCache>
            </c:numRef>
          </c:val>
          <c:extLst>
            <c:ext xmlns:c16="http://schemas.microsoft.com/office/drawing/2014/chart" uri="{C3380CC4-5D6E-409C-BE32-E72D297353CC}">
              <c16:uniqueId val="{00000000-497C-4592-94D1-EDC5FE921EB0}"/>
            </c:ext>
          </c:extLst>
        </c:ser>
        <c:dLbls>
          <c:dLblPos val="outEnd"/>
          <c:showLegendKey val="0"/>
          <c:showVal val="1"/>
          <c:showCatName val="0"/>
          <c:showSerName val="0"/>
          <c:showPercent val="0"/>
          <c:showBubbleSize val="0"/>
        </c:dLbls>
        <c:gapWidth val="219"/>
        <c:overlap val="-27"/>
        <c:axId val="761041880"/>
        <c:axId val="761042536"/>
      </c:barChart>
      <c:catAx>
        <c:axId val="761041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042536"/>
        <c:crosses val="autoZero"/>
        <c:auto val="1"/>
        <c:lblAlgn val="ctr"/>
        <c:lblOffset val="100"/>
        <c:noMultiLvlLbl val="0"/>
      </c:catAx>
      <c:valAx>
        <c:axId val="761042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Sustained Cases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041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Uses of Force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Sheet6!$C$5:$C$8</c:f>
              <c:strCache>
                <c:ptCount val="4"/>
                <c:pt idx="0">
                  <c:v>Leval 1 - Potentially Lethal</c:v>
                </c:pt>
                <c:pt idx="1">
                  <c:v>Level 2 - Serious Force</c:v>
                </c:pt>
                <c:pt idx="2">
                  <c:v>Level 3 - Moderate Force</c:v>
                </c:pt>
                <c:pt idx="3">
                  <c:v>Level 4 - Lowest Force</c:v>
                </c:pt>
              </c:strCache>
            </c:strRef>
          </c:cat>
          <c:val>
            <c:numRef>
              <c:f>Sheet6!$D$5:$D$8</c:f>
              <c:numCache>
                <c:formatCode>General</c:formatCode>
                <c:ptCount val="4"/>
                <c:pt idx="0">
                  <c:v>1</c:v>
                </c:pt>
                <c:pt idx="1">
                  <c:v>11</c:v>
                </c:pt>
                <c:pt idx="2">
                  <c:v>43</c:v>
                </c:pt>
                <c:pt idx="3">
                  <c:v>307</c:v>
                </c:pt>
              </c:numCache>
            </c:numRef>
          </c:val>
          <c:extLst>
            <c:ext xmlns:c16="http://schemas.microsoft.com/office/drawing/2014/chart" uri="{C3380CC4-5D6E-409C-BE32-E72D297353CC}">
              <c16:uniqueId val="{00000000-675B-4850-8339-33414B98D1FD}"/>
            </c:ext>
          </c:extLst>
        </c:ser>
        <c:ser>
          <c:idx val="1"/>
          <c:order val="1"/>
          <c:spPr>
            <a:no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Sheet6!$C$5:$C$8</c:f>
              <c:strCache>
                <c:ptCount val="4"/>
                <c:pt idx="0">
                  <c:v>Leval 1 - Potentially Lethal</c:v>
                </c:pt>
                <c:pt idx="1">
                  <c:v>Level 2 - Serious Force</c:v>
                </c:pt>
                <c:pt idx="2">
                  <c:v>Level 3 - Moderate Force</c:v>
                </c:pt>
                <c:pt idx="3">
                  <c:v>Level 4 - Lowest Force</c:v>
                </c:pt>
              </c:strCache>
            </c:strRef>
          </c:cat>
          <c:val>
            <c:numRef>
              <c:f>Sheet6!$E$5:$E$8</c:f>
              <c:numCache>
                <c:formatCode>0.0%</c:formatCode>
                <c:ptCount val="4"/>
                <c:pt idx="0">
                  <c:v>2.7624309392265192E-3</c:v>
                </c:pt>
                <c:pt idx="1">
                  <c:v>3.0386740331491711E-2</c:v>
                </c:pt>
                <c:pt idx="2">
                  <c:v>0.11878453038674033</c:v>
                </c:pt>
                <c:pt idx="3">
                  <c:v>0.84806629834254144</c:v>
                </c:pt>
              </c:numCache>
            </c:numRef>
          </c:val>
          <c:extLst>
            <c:ext xmlns:c16="http://schemas.microsoft.com/office/drawing/2014/chart" uri="{C3380CC4-5D6E-409C-BE32-E72D297353CC}">
              <c16:uniqueId val="{00000001-675B-4850-8339-33414B98D1FD}"/>
            </c:ext>
          </c:extLst>
        </c:ser>
        <c:dLbls>
          <c:dLblPos val="outEnd"/>
          <c:showLegendKey val="0"/>
          <c:showVal val="1"/>
          <c:showCatName val="0"/>
          <c:showSerName val="0"/>
          <c:showPercent val="0"/>
          <c:showBubbleSize val="0"/>
        </c:dLbls>
        <c:gapWidth val="182"/>
        <c:axId val="778904768"/>
        <c:axId val="778907392"/>
      </c:barChart>
      <c:catAx>
        <c:axId val="778904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78907392"/>
        <c:crosses val="autoZero"/>
        <c:auto val="1"/>
        <c:lblAlgn val="ctr"/>
        <c:lblOffset val="100"/>
        <c:noMultiLvlLbl val="0"/>
      </c:catAx>
      <c:valAx>
        <c:axId val="778907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904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Level 1 Uses of Force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Sheet1!$B$4</c:f>
              <c:strCache>
                <c:ptCount val="1"/>
                <c:pt idx="0">
                  <c:v>Fatal</c:v>
                </c:pt>
              </c:strCache>
            </c:strRef>
          </c:tx>
          <c:spPr>
            <a:solidFill>
              <a:schemeClr val="accent1">
                <a:shade val="76000"/>
              </a:schemeClr>
            </a:solidFill>
            <a:ln w="15875">
              <a:solidFill>
                <a:schemeClr val="accent1"/>
              </a:solidFill>
            </a:ln>
            <a:effectLst/>
          </c:spPr>
          <c:invertIfNegative val="0"/>
          <c:dLbls>
            <c:dLbl>
              <c:idx val="8"/>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0EF1-442F-A81C-7763EF6E5AC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Sheet1!$C$3:$M$3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Sheet1!$C$4:$M$4</c:f>
              <c:numCache>
                <c:formatCode>General</c:formatCode>
                <c:ptCount val="11"/>
                <c:pt idx="0">
                  <c:v>6</c:v>
                </c:pt>
                <c:pt idx="1">
                  <c:v>4</c:v>
                </c:pt>
                <c:pt idx="2">
                  <c:v>4</c:v>
                </c:pt>
                <c:pt idx="3">
                  <c:v>5</c:v>
                </c:pt>
                <c:pt idx="4">
                  <c:v>1</c:v>
                </c:pt>
                <c:pt idx="5">
                  <c:v>1</c:v>
                </c:pt>
                <c:pt idx="6">
                  <c:v>0</c:v>
                </c:pt>
                <c:pt idx="7">
                  <c:v>5</c:v>
                </c:pt>
                <c:pt idx="8">
                  <c:v>0</c:v>
                </c:pt>
                <c:pt idx="9">
                  <c:v>1</c:v>
                </c:pt>
                <c:pt idx="10">
                  <c:v>1</c:v>
                </c:pt>
              </c:numCache>
            </c:numRef>
          </c:val>
          <c:extLst>
            <c:ext xmlns:c16="http://schemas.microsoft.com/office/drawing/2014/chart" uri="{C3380CC4-5D6E-409C-BE32-E72D297353CC}">
              <c16:uniqueId val="{00000001-0EF1-442F-A81C-7763EF6E5AC2}"/>
            </c:ext>
          </c:extLst>
        </c:ser>
        <c:ser>
          <c:idx val="1"/>
          <c:order val="1"/>
          <c:tx>
            <c:strRef>
              <c:f>Sheet1!$B$5</c:f>
              <c:strCache>
                <c:ptCount val="1"/>
                <c:pt idx="0">
                  <c:v>Non-fatal</c:v>
                </c:pt>
              </c:strCache>
            </c:strRef>
          </c:tx>
          <c:spPr>
            <a:solidFill>
              <a:schemeClr val="accent1">
                <a:lumMod val="20000"/>
                <a:lumOff val="80000"/>
              </a:schemeClr>
            </a:solidFill>
            <a:ln w="15875">
              <a:solidFill>
                <a:schemeClr val="accent1"/>
              </a:solidFill>
            </a:ln>
            <a:effectLst/>
          </c:spPr>
          <c:invertIfNegative val="0"/>
          <c:dLbls>
            <c:dLbl>
              <c:idx val="9"/>
              <c:delete val="1"/>
              <c:extLst>
                <c:ext xmlns:c15="http://schemas.microsoft.com/office/drawing/2012/chart" uri="{CE6537A1-D6FC-4f65-9D91-7224C49458BB}"/>
                <c:ext xmlns:c16="http://schemas.microsoft.com/office/drawing/2014/chart" uri="{C3380CC4-5D6E-409C-BE32-E72D297353CC}">
                  <c16:uniqueId val="{00000002-0EF1-442F-A81C-7763EF6E5AC2}"/>
                </c:ext>
              </c:extLst>
            </c:dLbl>
            <c:dLbl>
              <c:idx val="10"/>
              <c:delete val="1"/>
              <c:extLst>
                <c:ext xmlns:c15="http://schemas.microsoft.com/office/drawing/2012/chart" uri="{CE6537A1-D6FC-4f65-9D91-7224C49458BB}"/>
                <c:ext xmlns:c16="http://schemas.microsoft.com/office/drawing/2014/chart" uri="{C3380CC4-5D6E-409C-BE32-E72D297353CC}">
                  <c16:uniqueId val="{00000003-0EF1-442F-A81C-7763EF6E5AC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Sheet1!$C$3:$M$3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Sheet1!$C$5:$M$5</c:f>
              <c:numCache>
                <c:formatCode>General</c:formatCode>
                <c:ptCount val="11"/>
                <c:pt idx="0">
                  <c:v>4</c:v>
                </c:pt>
                <c:pt idx="1">
                  <c:v>2</c:v>
                </c:pt>
                <c:pt idx="2">
                  <c:v>2</c:v>
                </c:pt>
                <c:pt idx="3">
                  <c:v>5</c:v>
                </c:pt>
                <c:pt idx="4">
                  <c:v>6</c:v>
                </c:pt>
                <c:pt idx="5">
                  <c:v>3</c:v>
                </c:pt>
                <c:pt idx="6">
                  <c:v>0</c:v>
                </c:pt>
                <c:pt idx="7">
                  <c:v>2</c:v>
                </c:pt>
                <c:pt idx="9">
                  <c:v>0</c:v>
                </c:pt>
                <c:pt idx="10">
                  <c:v>0</c:v>
                </c:pt>
              </c:numCache>
            </c:numRef>
          </c:val>
          <c:extLst>
            <c:ext xmlns:c16="http://schemas.microsoft.com/office/drawing/2014/chart" uri="{C3380CC4-5D6E-409C-BE32-E72D297353CC}">
              <c16:uniqueId val="{00000004-0EF1-442F-A81C-7763EF6E5AC2}"/>
            </c:ext>
          </c:extLst>
        </c:ser>
        <c:dLbls>
          <c:dLblPos val="ctr"/>
          <c:showLegendKey val="0"/>
          <c:showVal val="1"/>
          <c:showCatName val="0"/>
          <c:showSerName val="0"/>
          <c:showPercent val="0"/>
          <c:showBubbleSize val="0"/>
        </c:dLbls>
        <c:gapWidth val="150"/>
        <c:overlap val="100"/>
        <c:axId val="478125824"/>
        <c:axId val="478132056"/>
      </c:barChart>
      <c:catAx>
        <c:axId val="47812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132056"/>
        <c:crosses val="autoZero"/>
        <c:auto val="1"/>
        <c:lblAlgn val="ctr"/>
        <c:lblOffset val="100"/>
        <c:noMultiLvlLbl val="0"/>
      </c:catAx>
      <c:valAx>
        <c:axId val="478132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125824"/>
        <c:crosses val="autoZero"/>
        <c:crossBetween val="between"/>
      </c:valAx>
      <c:spPr>
        <a:noFill/>
        <a:ln>
          <a:noFill/>
        </a:ln>
        <a:effectLst/>
      </c:spPr>
    </c:plotArea>
    <c:legend>
      <c:legendPos val="b"/>
      <c:layout>
        <c:manualLayout>
          <c:xMode val="edge"/>
          <c:yMode val="edge"/>
          <c:x val="0.32706649168853891"/>
          <c:y val="0.89409667541557303"/>
          <c:w val="0.29308902012248467"/>
          <c:h val="7.812554680664916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All</a:t>
            </a:r>
            <a:r>
              <a:rPr lang="en-US" b="1" baseline="0"/>
              <a:t> OPD Employees</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Sheet3!$L$18:$L$24</c:f>
              <c:strCache>
                <c:ptCount val="7"/>
                <c:pt idx="0">
                  <c:v>Asian</c:v>
                </c:pt>
                <c:pt idx="1">
                  <c:v>Black or African American</c:v>
                </c:pt>
                <c:pt idx="2">
                  <c:v>Filipino</c:v>
                </c:pt>
                <c:pt idx="3">
                  <c:v>Hispanic or Latino</c:v>
                </c:pt>
                <c:pt idx="4">
                  <c:v>Native American</c:v>
                </c:pt>
                <c:pt idx="5">
                  <c:v>Undeclared/Other</c:v>
                </c:pt>
                <c:pt idx="6">
                  <c:v>White or Caucasian</c:v>
                </c:pt>
              </c:strCache>
            </c:strRef>
          </c:cat>
          <c:val>
            <c:numRef>
              <c:f>Sheet3!$M$18:$M$24</c:f>
              <c:numCache>
                <c:formatCode>General</c:formatCode>
                <c:ptCount val="7"/>
                <c:pt idx="0">
                  <c:v>168</c:v>
                </c:pt>
                <c:pt idx="1">
                  <c:v>288</c:v>
                </c:pt>
                <c:pt idx="2">
                  <c:v>30</c:v>
                </c:pt>
                <c:pt idx="3">
                  <c:v>288</c:v>
                </c:pt>
                <c:pt idx="4">
                  <c:v>5</c:v>
                </c:pt>
                <c:pt idx="5">
                  <c:v>28</c:v>
                </c:pt>
                <c:pt idx="6">
                  <c:v>362</c:v>
                </c:pt>
              </c:numCache>
            </c:numRef>
          </c:val>
          <c:extLst>
            <c:ext xmlns:c16="http://schemas.microsoft.com/office/drawing/2014/chart" uri="{C3380CC4-5D6E-409C-BE32-E72D297353CC}">
              <c16:uniqueId val="{00000000-8013-4510-80BE-7786422D0D07}"/>
            </c:ext>
          </c:extLst>
        </c:ser>
        <c:ser>
          <c:idx val="1"/>
          <c:order val="1"/>
          <c:spPr>
            <a:solidFill>
              <a:schemeClr val="accent2"/>
            </a:solidFill>
            <a:ln>
              <a:noFill/>
            </a:ln>
            <a:effectLst/>
          </c:spPr>
          <c:invertIfNegative val="0"/>
          <c:dLbls>
            <c:dLbl>
              <c:idx val="0"/>
              <c:layout>
                <c:manualLayout>
                  <c:x val="-5.0925337632079971E-17"/>
                  <c:y val="-8.824708628272165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13-4510-80BE-7786422D0D07}"/>
                </c:ext>
              </c:extLst>
            </c:dLbl>
            <c:dLbl>
              <c:idx val="1"/>
              <c:layout>
                <c:manualLayout>
                  <c:x val="0"/>
                  <c:y val="-1.32370629424080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13-4510-80BE-7786422D0D07}"/>
                </c:ext>
              </c:extLst>
            </c:dLbl>
            <c:dLbl>
              <c:idx val="2"/>
              <c:layout>
                <c:manualLayout>
                  <c:x val="0"/>
                  <c:y val="-8.824708628272084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13-4510-80BE-7786422D0D07}"/>
                </c:ext>
              </c:extLst>
            </c:dLbl>
            <c:dLbl>
              <c:idx val="3"/>
              <c:layout>
                <c:manualLayout>
                  <c:x val="0"/>
                  <c:y val="-8.82470862827200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13-4510-80BE-7786422D0D07}"/>
                </c:ext>
              </c:extLst>
            </c:dLbl>
            <c:dLbl>
              <c:idx val="4"/>
              <c:tx>
                <c:rich>
                  <a:bodyPr/>
                  <a:lstStyle/>
                  <a:p>
                    <a:fld id="{14E147F0-FDDD-4221-B15C-DD18FC538DF9}" type="VALUE">
                      <a:rPr lang="en-US"/>
                      <a:pPr/>
                      <a:t>[VALUE]</a:t>
                    </a:fld>
                    <a:endParaRPr lang="en-US"/>
                  </a:p>
                  <a:p>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013-4510-80BE-7786422D0D07}"/>
                </c:ext>
              </c:extLst>
            </c:dLbl>
            <c:dLbl>
              <c:idx val="5"/>
              <c:layout>
                <c:manualLayout>
                  <c:x val="-5.0925337632079971E-17"/>
                  <c:y val="-8.8247086282720443E-3"/>
                </c:manualLayout>
              </c:layout>
              <c:tx>
                <c:rich>
                  <a:bodyPr rot="0" spcFirstLastPara="1" vertOverflow="ellipsis" horzOverflow="clip" vert="horz" wrap="square" lIns="38100" tIns="19050" rIns="38100" bIns="9144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844AB50-E1D1-4089-AB7A-45FC5DD4B6EA}" type="VALUE">
                      <a:rPr lang="en-US"/>
                      <a:pPr>
                        <a:defRPr>
                          <a:solidFill>
                            <a:schemeClr val="tx1">
                              <a:lumMod val="75000"/>
                              <a:lumOff val="25000"/>
                            </a:schemeClr>
                          </a:solidFill>
                        </a:defRPr>
                      </a:pPr>
                      <a:t>[VALUE]</a:t>
                    </a:fld>
                    <a:endParaRPr lang="en-US"/>
                  </a:p>
                  <a:p>
                    <a:pPr>
                      <a:defRPr>
                        <a:solidFill>
                          <a:schemeClr val="tx1">
                            <a:lumMod val="75000"/>
                            <a:lumOff val="25000"/>
                          </a:schemeClr>
                        </a:solidFill>
                      </a:defRPr>
                    </a:pPr>
                    <a:endParaRPr lang="en-US"/>
                  </a:p>
                </c:rich>
              </c:tx>
              <c:spPr>
                <a:noFill/>
                <a:ln>
                  <a:noFill/>
                </a:ln>
                <a:effectLst/>
              </c:spPr>
              <c:txPr>
                <a:bodyPr rot="0" spcFirstLastPara="1" vertOverflow="ellipsis" horzOverflow="clip" vert="horz" wrap="square" lIns="38100" tIns="19050" rIns="38100" bIns="9144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6.682677165354331E-2"/>
                      <c:h val="0.10242776767530075"/>
                    </c:manualLayout>
                  </c15:layout>
                  <c15:dlblFieldTable/>
                  <c15:showDataLabelsRange val="0"/>
                </c:ext>
                <c:ext xmlns:c16="http://schemas.microsoft.com/office/drawing/2014/chart" uri="{C3380CC4-5D6E-409C-BE32-E72D297353CC}">
                  <c16:uniqueId val="{00000006-8013-4510-80BE-7786422D0D07}"/>
                </c:ext>
              </c:extLst>
            </c:dLbl>
            <c:dLbl>
              <c:idx val="6"/>
              <c:tx>
                <c:rich>
                  <a:bodyPr/>
                  <a:lstStyle/>
                  <a:p>
                    <a:fld id="{CD79BA7D-12A3-4081-B3E1-14FD924F9F17}" type="VALUE">
                      <a:rPr lang="en-US"/>
                      <a:pPr/>
                      <a:t>[VALUE]</a:t>
                    </a:fld>
                    <a:endParaRPr lang="en-US"/>
                  </a:p>
                  <a:p>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013-4510-80BE-7786422D0D07}"/>
                </c:ext>
              </c:extLst>
            </c:dLbl>
            <c:spPr>
              <a:noFill/>
              <a:ln>
                <a:noFill/>
              </a:ln>
              <a:effectLst/>
            </c:spPr>
            <c:txPr>
              <a:bodyPr rot="0" spcFirstLastPara="1" vertOverflow="ellipsis" horzOverflow="clip" vert="horz" wrap="square" lIns="38100" tIns="19050" rIns="38100" bIns="9144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Sheet3!$L$18:$L$24</c:f>
              <c:strCache>
                <c:ptCount val="7"/>
                <c:pt idx="0">
                  <c:v>Asian</c:v>
                </c:pt>
                <c:pt idx="1">
                  <c:v>Black or African American</c:v>
                </c:pt>
                <c:pt idx="2">
                  <c:v>Filipino</c:v>
                </c:pt>
                <c:pt idx="3">
                  <c:v>Hispanic or Latino</c:v>
                </c:pt>
                <c:pt idx="4">
                  <c:v>Native American</c:v>
                </c:pt>
                <c:pt idx="5">
                  <c:v>Undeclared/Other</c:v>
                </c:pt>
                <c:pt idx="6">
                  <c:v>White or Caucasian</c:v>
                </c:pt>
              </c:strCache>
            </c:strRef>
          </c:cat>
          <c:val>
            <c:numRef>
              <c:f>Sheet3!$N$18:$N$24</c:f>
              <c:numCache>
                <c:formatCode>0.0%</c:formatCode>
                <c:ptCount val="7"/>
                <c:pt idx="0">
                  <c:v>0.1437125748502994</c:v>
                </c:pt>
                <c:pt idx="1">
                  <c:v>0.24636441402908468</c:v>
                </c:pt>
                <c:pt idx="2">
                  <c:v>2.5662959794696322E-2</c:v>
                </c:pt>
                <c:pt idx="3">
                  <c:v>0.24636441402908468</c:v>
                </c:pt>
                <c:pt idx="4">
                  <c:v>4.2771599657827203E-3</c:v>
                </c:pt>
                <c:pt idx="5">
                  <c:v>2.3952095808383235E-2</c:v>
                </c:pt>
                <c:pt idx="6">
                  <c:v>0.30966638152266895</c:v>
                </c:pt>
              </c:numCache>
            </c:numRef>
          </c:val>
          <c:extLst>
            <c:ext xmlns:c16="http://schemas.microsoft.com/office/drawing/2014/chart" uri="{C3380CC4-5D6E-409C-BE32-E72D297353CC}">
              <c16:uniqueId val="{00000008-8013-4510-80BE-7786422D0D07}"/>
            </c:ext>
          </c:extLst>
        </c:ser>
        <c:dLbls>
          <c:dLblPos val="outEnd"/>
          <c:showLegendKey val="0"/>
          <c:showVal val="1"/>
          <c:showCatName val="0"/>
          <c:showSerName val="0"/>
          <c:showPercent val="0"/>
          <c:showBubbleSize val="0"/>
        </c:dLbls>
        <c:gapWidth val="182"/>
        <c:axId val="635503128"/>
        <c:axId val="635511000"/>
      </c:barChart>
      <c:catAx>
        <c:axId val="635503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511000"/>
        <c:crosses val="autoZero"/>
        <c:auto val="1"/>
        <c:lblAlgn val="ctr"/>
        <c:lblOffset val="100"/>
        <c:noMultiLvlLbl val="0"/>
      </c:catAx>
      <c:valAx>
        <c:axId val="635511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503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OPD Professional</a:t>
            </a:r>
            <a:r>
              <a:rPr lang="en-US" b="1" baseline="0"/>
              <a:t> Staff</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Sheet3!$G$29:$G$35</c:f>
              <c:strCache>
                <c:ptCount val="7"/>
                <c:pt idx="0">
                  <c:v>Asian</c:v>
                </c:pt>
                <c:pt idx="1">
                  <c:v>Black or African American</c:v>
                </c:pt>
                <c:pt idx="2">
                  <c:v>Filipino</c:v>
                </c:pt>
                <c:pt idx="3">
                  <c:v>Hispanic or Latino</c:v>
                </c:pt>
                <c:pt idx="4">
                  <c:v>Native American</c:v>
                </c:pt>
                <c:pt idx="5">
                  <c:v>Undeclared/Other</c:v>
                </c:pt>
                <c:pt idx="6">
                  <c:v>White or Caucasian</c:v>
                </c:pt>
              </c:strCache>
            </c:strRef>
          </c:cat>
          <c:val>
            <c:numRef>
              <c:f>Sheet3!$H$29:$H$35</c:f>
              <c:numCache>
                <c:formatCode>General</c:formatCode>
                <c:ptCount val="7"/>
                <c:pt idx="0">
                  <c:v>72</c:v>
                </c:pt>
                <c:pt idx="1">
                  <c:v>162</c:v>
                </c:pt>
                <c:pt idx="2">
                  <c:v>4</c:v>
                </c:pt>
                <c:pt idx="3">
                  <c:v>85</c:v>
                </c:pt>
                <c:pt idx="4">
                  <c:v>2</c:v>
                </c:pt>
                <c:pt idx="5">
                  <c:v>10</c:v>
                </c:pt>
                <c:pt idx="6">
                  <c:v>85</c:v>
                </c:pt>
              </c:numCache>
            </c:numRef>
          </c:val>
          <c:extLst>
            <c:ext xmlns:c16="http://schemas.microsoft.com/office/drawing/2014/chart" uri="{C3380CC4-5D6E-409C-BE32-E72D297353CC}">
              <c16:uniqueId val="{00000000-B0FD-411D-84A6-9C45A9A4B89A}"/>
            </c:ext>
          </c:extLst>
        </c:ser>
        <c:ser>
          <c:idx val="1"/>
          <c:order val="1"/>
          <c:spPr>
            <a:solidFill>
              <a:schemeClr val="accent2"/>
            </a:solidFill>
            <a:ln>
              <a:noFill/>
            </a:ln>
            <a:effectLst/>
          </c:spPr>
          <c:invertIfNegative val="0"/>
          <c:dLbls>
            <c:dLbl>
              <c:idx val="0"/>
              <c:layout>
                <c:manualLayout>
                  <c:x val="0"/>
                  <c:y val="-1.38777692706122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FD-411D-84A6-9C45A9A4B89A}"/>
                </c:ext>
              </c:extLst>
            </c:dLbl>
            <c:dLbl>
              <c:idx val="1"/>
              <c:layout>
                <c:manualLayout>
                  <c:x val="0"/>
                  <c:y val="-9.25184618040808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FD-411D-84A6-9C45A9A4B89A}"/>
                </c:ext>
              </c:extLst>
            </c:dLbl>
            <c:dLbl>
              <c:idx val="2"/>
              <c:layout>
                <c:manualLayout>
                  <c:x val="0"/>
                  <c:y val="-1.3877769270612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FD-411D-84A6-9C45A9A4B89A}"/>
                </c:ext>
              </c:extLst>
            </c:dLbl>
            <c:dLbl>
              <c:idx val="3"/>
              <c:layout>
                <c:manualLayout>
                  <c:x val="0"/>
                  <c:y val="-9.25184618040808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FD-411D-84A6-9C45A9A4B89A}"/>
                </c:ext>
              </c:extLst>
            </c:dLbl>
            <c:dLbl>
              <c:idx val="4"/>
              <c:layout>
                <c:manualLayout>
                  <c:x val="-5.1056250235209314E-17"/>
                  <c:y val="-9.2518461804081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FD-411D-84A6-9C45A9A4B89A}"/>
                </c:ext>
              </c:extLst>
            </c:dLbl>
            <c:dLbl>
              <c:idx val="5"/>
              <c:layout>
                <c:manualLayout>
                  <c:x val="0"/>
                  <c:y val="-4.62592309020404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0FD-411D-84A6-9C45A9A4B89A}"/>
                </c:ext>
              </c:extLst>
            </c:dLbl>
            <c:dLbl>
              <c:idx val="6"/>
              <c:layout>
                <c:manualLayout>
                  <c:x val="0"/>
                  <c:y val="-1.38777692706121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0FD-411D-84A6-9C45A9A4B89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Sheet3!$G$29:$G$35</c:f>
              <c:strCache>
                <c:ptCount val="7"/>
                <c:pt idx="0">
                  <c:v>Asian</c:v>
                </c:pt>
                <c:pt idx="1">
                  <c:v>Black or African American</c:v>
                </c:pt>
                <c:pt idx="2">
                  <c:v>Filipino</c:v>
                </c:pt>
                <c:pt idx="3">
                  <c:v>Hispanic or Latino</c:v>
                </c:pt>
                <c:pt idx="4">
                  <c:v>Native American</c:v>
                </c:pt>
                <c:pt idx="5">
                  <c:v>Undeclared/Other</c:v>
                </c:pt>
                <c:pt idx="6">
                  <c:v>White or Caucasian</c:v>
                </c:pt>
              </c:strCache>
            </c:strRef>
          </c:cat>
          <c:val>
            <c:numRef>
              <c:f>Sheet3!$I$29:$I$35</c:f>
              <c:numCache>
                <c:formatCode>0.0%</c:formatCode>
                <c:ptCount val="7"/>
                <c:pt idx="0">
                  <c:v>0.17142857142857143</c:v>
                </c:pt>
                <c:pt idx="1">
                  <c:v>0.38571428571428573</c:v>
                </c:pt>
                <c:pt idx="2">
                  <c:v>9.5238095238095247E-3</c:v>
                </c:pt>
                <c:pt idx="3">
                  <c:v>0.20238095238095238</c:v>
                </c:pt>
                <c:pt idx="4">
                  <c:v>4.7619047619047623E-3</c:v>
                </c:pt>
                <c:pt idx="5">
                  <c:v>2.3809523809523808E-2</c:v>
                </c:pt>
                <c:pt idx="6">
                  <c:v>0.20238095238095238</c:v>
                </c:pt>
              </c:numCache>
            </c:numRef>
          </c:val>
          <c:extLst>
            <c:ext xmlns:c16="http://schemas.microsoft.com/office/drawing/2014/chart" uri="{C3380CC4-5D6E-409C-BE32-E72D297353CC}">
              <c16:uniqueId val="{00000008-B0FD-411D-84A6-9C45A9A4B89A}"/>
            </c:ext>
          </c:extLst>
        </c:ser>
        <c:dLbls>
          <c:dLblPos val="outEnd"/>
          <c:showLegendKey val="0"/>
          <c:showVal val="1"/>
          <c:showCatName val="0"/>
          <c:showSerName val="0"/>
          <c:showPercent val="0"/>
          <c:showBubbleSize val="0"/>
        </c:dLbls>
        <c:gapWidth val="182"/>
        <c:axId val="596713464"/>
        <c:axId val="596711168"/>
      </c:barChart>
      <c:catAx>
        <c:axId val="596713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96711168"/>
        <c:crosses val="autoZero"/>
        <c:auto val="1"/>
        <c:lblAlgn val="ctr"/>
        <c:lblOffset val="100"/>
        <c:noMultiLvlLbl val="0"/>
      </c:catAx>
      <c:valAx>
        <c:axId val="596711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713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C3230D5D9F9443974B17D13D620B2E" ma:contentTypeVersion="10" ma:contentTypeDescription="Create a new document." ma:contentTypeScope="" ma:versionID="1be27e520ba224b7f6cbd2d2f3af6ae5">
  <xsd:schema xmlns:xsd="http://www.w3.org/2001/XMLSchema" xmlns:xs="http://www.w3.org/2001/XMLSchema" xmlns:p="http://schemas.microsoft.com/office/2006/metadata/properties" xmlns:ns3="ad12be42-45b5-4bcf-ab43-259e0b0e6107" xmlns:ns4="616a747f-9e33-4f24-afa9-74f8bca94316" targetNamespace="http://schemas.microsoft.com/office/2006/metadata/properties" ma:root="true" ma:fieldsID="9e0b2042ce2e920f656aa05515318e71" ns3:_="" ns4:_="">
    <xsd:import namespace="ad12be42-45b5-4bcf-ab43-259e0b0e6107"/>
    <xsd:import namespace="616a747f-9e33-4f24-afa9-74f8bca9431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2be42-45b5-4bcf-ab43-259e0b0e61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a747f-9e33-4f24-afa9-74f8bca9431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DF33-5A00-494F-80ED-783FC8BEC6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CD4204-4AA7-440F-B1D9-2C80E8341C83}">
  <ds:schemaRefs>
    <ds:schemaRef ds:uri="http://schemas.microsoft.com/sharepoint/v3/contenttype/forms"/>
  </ds:schemaRefs>
</ds:datastoreItem>
</file>

<file path=customXml/itemProps3.xml><?xml version="1.0" encoding="utf-8"?>
<ds:datastoreItem xmlns:ds="http://schemas.openxmlformats.org/officeDocument/2006/customXml" ds:itemID="{B34924A1-3C6C-483A-8473-3B14B72D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2be42-45b5-4bcf-ab43-259e0b0e6107"/>
    <ds:schemaRef ds:uri="616a747f-9e33-4f24-afa9-74f8bca94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CF037-5F0D-5F43-B0F6-BFDFDA15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16</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City Of Oakland</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Derryck, Erica</dc:creator>
  <cp:lastModifiedBy>Madyun, Messiah</cp:lastModifiedBy>
  <cp:revision>68</cp:revision>
  <cp:lastPrinted>2019-11-13T23:23:00Z</cp:lastPrinted>
  <dcterms:created xsi:type="dcterms:W3CDTF">2019-11-25T08:28:00Z</dcterms:created>
  <dcterms:modified xsi:type="dcterms:W3CDTF">2019-12-12T21:49:00Z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0x010100A2C3230D5D9F9443974B17D13D620B2E</vt:lpwstr>
  </property>
</Properties>
</file>